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6bde3e494ad417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ההוצאה לפועל (הוראות לתשלום חובות פסוקים),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חוב לשיעורין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התשלום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אינו מונע הליכים על ידי הזוכה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בקשת חייב לעיכוב הליכים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בקשת חייב לשינוי שיעורי התשלום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החייב לשלם גם לאחר זקיפת תשלומים לפי סעיף 76</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בקשת החייב לפי סעיף 81א4 לחוק</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הכללים באתר האינטרנט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כללי ההוצאה לפועל (הוראות לתשלום חובות פסוקים),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69א לחוק ההוצאה לפועל, התשכ"ז-1967 (להלן – החוק), אני קובע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חוב לשיעורין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חייב רשאי בתוך 21 ימים מיום שהומצאה לו אזהרה בתיק פסק דין או בתוך 30 ימים מיום המצאת האזהרה בתיקים לביצוע שטר או לביצוע תובענה לשלם את החוב בשיעורים כמפורט בכללים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האמור בסעיף קטן (א), חייב רשאי להגיש לרשם ההוצאה לפועל (להלן – רשם) בקשה לשלם את החוב בשיעורים שנקבעו בסעיף 2 גם אם חלפו המועדים האמורים בו; בקשה כאמור תוגש לפי החוק ואין בהגשתה כדי להביא לביטול או לעיכוב של הליכים שננקטו.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התשלום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5bb003a977794cc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שחובו עולה על 20,000 שקלים חדשים רשאי להגיש לרשם בקשה לקביעת צו חיוב בתשלומים לפי סעיף 69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אינו מונע הליכים על ידי הזוכה</w:t>
                </w:r>
              </w:p>
            </w:txbxContent>
          </v:textbox>
        </v:rect>
      </w:pict>
      <w:r>
        <w:rPr>
          <w:lang w:bidi="he-IL"/>
          <w:rFonts w:hint="cs" w:cs="FrankRuehl"/>
          <w:szCs w:val="34"/>
          <w:rtl/>
        </w:rPr>
        <w:t xml:space="preserve">3.</w:t>
      </w:r>
      <w:r>
        <w:rPr>
          <w:lang w:bidi="he-IL"/>
          <w:rFonts w:hint="cs" w:cs="FrankRuehl"/>
          <w:szCs w:val="26"/>
          <w:rtl/>
        </w:rPr>
        <w:tab/>
        <w:t xml:space="preserve">אין בתשלום של חייב לפי כללים אלה כדי למנוע מהזוכה לפעול כנגד החייב בהליכים הקבועים בחוק.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בקשת חייב לעיכוב הליכים</w:t>
                </w:r>
              </w:p>
            </w:txbxContent>
          </v:textbox>
        </v:rect>
      </w:pict>
      <w:r>
        <w:rPr>
          <w:lang w:bidi="he-IL"/>
          <w:rFonts w:hint="cs" w:cs="FrankRuehl"/>
          <w:szCs w:val="34"/>
          <w:rtl/>
        </w:rPr>
        <w:t xml:space="preserve">4.</w:t>
      </w:r>
      <w:r>
        <w:rPr>
          <w:lang w:bidi="he-IL"/>
          <w:rFonts w:hint="cs" w:cs="FrankRuehl"/>
          <w:szCs w:val="26"/>
          <w:rtl/>
        </w:rPr>
        <w:tab/>
        <w:t xml:space="preserve">חייב המבקש כי כנגד תשלומים לפי כללים אלה יעוכבו כנגדו הליכי ההוצאה לפועל, יגיש לרשם בקשה מתאימה לעיכוב הליכים.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בקשת חייב לשינוי שיעורי התשלום</w:t>
                </w:r>
              </w:p>
            </w:txbxContent>
          </v:textbox>
        </v:rect>
      </w:pict>
      <w:r>
        <w:rPr>
          <w:lang w:bidi="he-IL"/>
          <w:rFonts w:hint="cs" w:cs="FrankRuehl"/>
          <w:szCs w:val="34"/>
          <w:rtl/>
        </w:rPr>
        <w:t xml:space="preserve">5.</w:t>
      </w:r>
      <w:r>
        <w:rPr>
          <w:lang w:bidi="he-IL"/>
          <w:rFonts w:hint="cs" w:cs="FrankRuehl"/>
          <w:szCs w:val="26"/>
          <w:rtl/>
        </w:rPr>
        <w:tab/>
        <w:t xml:space="preserve">אין בכללים אלה כדי למנוע מזוכה או חייב, לפי העניין, המבקש כי יינתן צו לחיוב בתשלומים השונה מהשיעורים שנקבעו בכללים אלה, להגיש לרשם בקשה לצו תשלומים לפי סעיף 7א או 69ב לחוק או להגיש בקשה לביצוע חקירת יכולת לפי סעיף 7 או סעיף 67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החייב לשלם גם לאחר זקיפת תשלומים לפי סעיף 76</w:t>
                </w:r>
              </w:p>
            </w:txbxContent>
          </v:textbox>
        </v:rect>
      </w:pict>
      <w:r>
        <w:rPr>
          <w:lang w:bidi="he-IL"/>
          <w:rFonts w:hint="cs" w:cs="FrankRuehl"/>
          <w:szCs w:val="34"/>
          <w:rtl/>
        </w:rPr>
        <w:t xml:space="preserve">6.</w:t>
      </w:r>
      <w:r>
        <w:rPr>
          <w:lang w:bidi="he-IL"/>
          <w:rFonts w:hint="cs" w:cs="FrankRuehl"/>
          <w:szCs w:val="26"/>
          <w:rtl/>
        </w:rPr>
        <w:tab/>
        <w:t xml:space="preserve">התקבלו כספים כתוצאה מזקיפת כספים לפי סעיף 76 לחוק, אין בכך כדי לגרוע מחובת החייב להמשיך ולשלם את יתרת החוב לפי גובה התשלום החודשי לפי סעיף 2.</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7.</w:t>
      </w:r>
      <w:r>
        <w:rPr>
          <w:lang w:bidi="he-IL"/>
          <w:rFonts w:hint="cs" w:cs="FrankRuehl"/>
          <w:szCs w:val="26"/>
          <w:rtl/>
        </w:rPr>
        <w:tab/>
        <w:t xml:space="preserve">אין בכללים אלה כדי למנוע הוספת הפרשי הצמדה וריבית ליתרת החוב שלא שולמה, על פי כל 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בקשת החייב לפי סעיף 81א4 לחוק</w:t>
                </w:r>
              </w:p>
            </w:txbxContent>
          </v:textbox>
        </v:rect>
      </w:pict>
      <w:r>
        <w:rPr>
          <w:lang w:bidi="he-IL"/>
          <w:rFonts w:hint="cs" w:cs="FrankRuehl"/>
          <w:szCs w:val="34"/>
          <w:rtl/>
        </w:rPr>
        <w:t xml:space="preserve">8.</w:t>
      </w:r>
      <w:r>
        <w:rPr>
          <w:lang w:bidi="he-IL"/>
          <w:rFonts w:hint="cs" w:cs="FrankRuehl"/>
          <w:szCs w:val="26"/>
          <w:rtl/>
        </w:rPr>
        <w:tab/>
        <w:t xml:space="preserve">חייב המבקש כי יופחתו הפרשי הצמדה וריבית, יגיש בקשה לפי סעיף 81א4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הכללים באתר האינטרנט</w:t>
                </w:r>
              </w:p>
            </w:txbxContent>
          </v:textbox>
        </v:rect>
      </w:pict>
      <w:r>
        <w:rPr>
          <w:lang w:bidi="he-IL"/>
          <w:rFonts w:hint="cs" w:cs="FrankRuehl"/>
          <w:szCs w:val="34"/>
          <w:rtl/>
        </w:rPr>
        <w:t xml:space="preserve">9.</w:t>
      </w:r>
      <w:r>
        <w:rPr>
          <w:lang w:bidi="he-IL"/>
          <w:rFonts w:hint="cs" w:cs="FrankRuehl"/>
          <w:szCs w:val="26"/>
          <w:rtl/>
        </w:rPr>
        <w:tab/>
        <w:t xml:space="preserve">כללים אלה יפורסמו גם באתר האינטרנט של מערכת ההוצאה לפועל שכתובתו .</w:t>
      </w:r>
      <w:hyperlink xmlns:r="http://schemas.openxmlformats.org/officeDocument/2006/relationships" w:history="true" r:id="R2bb8869e0ec94aaf">
        <w:r>
          <w:rPr>
            <w:rStyle w:val="Hyperlink"/>
            <w:u w:val="single"/>
            <w:color w:themeColor="hyperlink"/>
          </w:rPr>
          <w:t>www.eca.gov.il</w:t>
        </w:r>
      </w:hyperlink>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10.</w:t>
      </w:r>
      <w:r>
        <w:rPr>
          <w:lang w:bidi="he-IL"/>
          <w:rFonts w:hint="cs" w:cs="FrankRuehl"/>
          <w:szCs w:val="26"/>
          <w:rtl/>
        </w:rPr>
        <w:tab/>
        <w:t xml:space="preserve">כללים אלה יחולו על תיקי הוצאה לפועל שנפתחו לאחר יום תחילתם של הכללים (להלן – יום התחילה), ואולם חייב רשאי להגיש לרשם בקשה לשלם את החוב בשיעורים שנקבעו בכללים גם לגבי תיקים שנפתחו לפני יום התחילה; בקשה כאמור תוגש לפי החוק ואין בהגשתה כדי להביא לביטול או לעיכוב של הליכים שננקטו.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מדיוני</w:t>
                </w:r>
              </w:p>
              <w:p>
                <w:pPr>
                  <w:bidi/>
                  <w:spacing w:before="45" w:after="3" w:line="250" w:lineRule="auto"/>
                  <w:jc w:val="center"/>
                </w:pPr>
                <w:defaultTabStop w:val="720"/>
                <w:r>
                  <w:rPr>
                    <w:lang w:bidi="he-IL"/>
                    <w:rFonts w:hint="cs" w:cs="FrankRuehl"/>
                    <w:szCs w:val="22"/>
                    <w:rtl/>
                  </w:rPr>
                  <w:t xml:space="preserve">מנהל מערכת ההוצאה לפועל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ההוצאה לפועל (הוראות לתשלום חובות פסוקים),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3b8d4a65b2d42d3" /><Relationship Type="http://schemas.openxmlformats.org/officeDocument/2006/relationships/hyperlink" Target="https://www.nevo.co.il/laws/#/619b5aa085b43c7201ce8f44/clause/619b5b8285b43c7201ce8f88" TargetMode="External" Id="R5bb003a977794cc6" /><Relationship Type="http://schemas.openxmlformats.org/officeDocument/2006/relationships/hyperlink" Target="http://www.eca.gov.il/" TargetMode="External" Id="R2bb8869e0ec94aaf" /><Relationship Type="http://schemas.openxmlformats.org/officeDocument/2006/relationships/header" Target="/word/header1.xml" Id="r97" /><Relationship Type="http://schemas.openxmlformats.org/officeDocument/2006/relationships/footer" Target="/word/footer1.xml" Id="r98" /></Relationships>
</file>