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40ef884d3cf4164"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המים (הסדר מפורט לאזור קיצוב), תשפ"ג-2023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הקצאת מים שפירים למטרת חקלאות במערכת הארצית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הקצאת מים שפירים למטרת חקלאות באזור סובב כנרת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הקצאת מים שפירים למטרת חקלאות באזור הגליל העליון</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הקצאת מים שפירים למטרת חקלאות באזור רמת הגולן</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הקצאת מים שפירים לחקלאות באזורים המסוימים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הקצאת מים שפירים ומי קולחים לשימור ערכי טבע ונוף</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הקצאת מי קולחים ומי שפד"ן לחקלאות באזורים השונים</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הבהרה למגבלת כמות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הקצאת כמות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bl>
        <w:br w:type="page"/>
      </w:r>
    </w:p>
    <w:p>
      <w:pPr>
        <w:bidi/>
        <w:spacing w:before="45" w:after="70" w:line="250" w:lineRule="auto"/>
        <w:jc w:val="center"/>
      </w:pPr>
      <w:defaultTabStop w:val="720"/>
      <w:r>
        <w:rPr>
          <w:lang w:bidi="he-IL"/>
          <w:rFonts w:hint="cs" w:cs="FrankRuehl"/>
          <w:szCs w:val="32"/>
          <w:rtl/>
        </w:rPr>
        <w:t xml:space="preserve">כללי המים (הסדר מפורט לאזור קיצוב), תשפ"ג-2023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סעיף 37 לחוק המים, התשי"ט-1959 (להלן – החוק), ולאחר שקוימו הוראות סעיפים 38 עד 40 ו-124יח(ד) לחוק, קובעת מועצת הרשות הממשלתית למים ולביוב (להלן – מועצת הרשות) כללים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בכללים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"אדמות הכבול" – אדמות חקלאיות הנכללות בהסכם הכבול ומעובדות לפי הוראותיו;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"אזורים מסוימים"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אזור עמק חרוד;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אזור עמק המעיינות;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אזור בקעת הירדן ומחולה;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אזור צפון ים המלח;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אזור מרכז ים המלח;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אזור דרום ים המלח;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אזור הערבה;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"אזור הגליל העליון" – האזור המסומן במפה שבתוספת הראשונה אזור הגליל העליון;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"אזור סובב כנרת" – האזור המסומן במפה שבתוספת הראשונה אזור סובב כנרת;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"אזור רמת הגולן" – האזור המסומן במפה שבתוספת הראשונה אזור רמת הגולן;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"אתר האינטרנט" – אתר האינטרנט של הרשות הממשלתית למים ולביוב שכתובתו ;</w:t>
      </w:r>
      <w:hyperlink xmlns:r="http://schemas.openxmlformats.org/officeDocument/2006/relationships" w:history="true" r:id="R5f59793f429b4449">
        <w:r>
          <w:rPr>
            <w:rStyle w:val="Hyperlink"/>
            <w:u w:val="single"/>
            <w:color w:themeColor="hyperlink"/>
          </w:rPr>
          <w:t>www.water.gov.il</w:t>
        </w:r>
      </w:hyperlink>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"המערכת הארצית" – כל שטח מדינת ישראל, למעט אזור סובב כנרת, אזור הגליל העליון, אזור רמת הגולן והאזורים המסוימים;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"הסכם הכבול" – הסכם בעניין הטיפול באדמות הכבול בעמק החולה, בין מדינת ישראל לבין החברה לחקלאות בגליל העליון והמועצה האזורית הגליל העליון, המונח לעיון הציבור במשרדי הרשות הממשלתית למים ולביוב והמפורסם באתר האינטרנט;</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"הפרסום הקובע" – נתוני שפיעת מעיינות הדן בתום עונת המשקעים, כפי שיתפרסמו באתר האינטרנט עד יום י"ד בניסן התשפ"ג (5 באפריל 2023);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"כמות הגשם" – כמות הגשם שנמדדה באזור המערכת הארצית ופורסמה באתר האינטרנט;</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"מדגה מתועש" – גידול דגים לשיווק בבריכות מצופות ביריעה פלסטית או בבטון, שבהן משך זמן שהיית המים פחות מ-24 שעות ומפיק המים מזרימם חזרה למקור המים שממנו הופקו, לפי צו הרשאה שניתן לפי סעיף 20יא לחוק ובהתאם לתנאיו;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"מטרת שימור ערכי טבע ונוף" – כמשמעותה בסעיף 6(6)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"מנהל הרשות הממשלתית" – מנהל הרשות הממשלתית למים ולביוב שמונה לפי סעיף 124יט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"שנת הרישוי 2023" – השנה שתחילתה ביום ח' בטבת התשפ"ג (1בינואר 2023) וסיומה ביום י"ט בטבת התשפ"ד (31 בדצמבר 2023);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"הרשות לשמירת הטבע והגנים הלאומיים" – הרשות לשמירת הטבע והגנים הלאומיים שהוקמה בחוק גנים לאומיים, שמורות טבע, אתרים לאומיים ואתרי הנצחה, התשנ"ח-1998;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"שפיעת מעיינות הדן" – סיכום שפיעת מעיינות הדן, כפי שיפורסם מזמן לזמן באתר האינטרנט.</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הקצאת מים שפירים למטרת חקלאות במערכת הארצית</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על אף האמור בכל דין, בשנת הרישוי 2023 הקצאת המים השפירים להספקה למטרת חקלאות במערכת הארצית, תהיה 375 מיליון מטרים מעוקבים.</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מנהל הרשות הממשלתית רשאי להתיר בשנת הרישוי 2023 הפקה והספקה נוספת למטרת חקלאות בכמות שלא תעלה על 25 מיליון מטרים מעוקבים, מקידוחים המצויים בחלק הצפוני של אקוויפר החוף, באקוויפר חוף הגליל המערבי ובאקוויפר הרי נצרת, אם התקיימו כל התנאים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הרכב המים המופקים מונע שימוש בהם כמי שתייה;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מצב מאגרי המים הרב-שנתיים באותו אזור מאפשר זאת;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המים המופקים ישמשו להגברת הספקה של מים במפעלים להשבת קולחים.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עלתה כמות הגשם במערכת הארצית ביום ט' באייר התשפ"ג (30 באפריל 2023) על 632 מילימטרים, רשאי מנהל הרשות הממשלתית להוסיף על הכמות האמורה בסעיף 2(א), 15 מיליון מטרים מעוקבים של מים שפירים; מנהל הרשות הממשלתית יפרסם באתר האינטרנט בתחילת כל חודש את כמות הגשם שנמדדה עד מועד הפרסום.</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הקצאת מים שפירים למטרת חקלאות באזור סובב כנרת</w:t>
                </w:r>
              </w:p>
            </w:txbxContent>
          </v:textbox>
        </v:rect>
      </w:pict>
      <w:r>
        <w:rPr>
          <w:lang w:bidi="he-IL"/>
          <w:rFonts w:hint="cs" w:cs="FrankRuehl"/>
          <w:szCs w:val="34"/>
          <w:rtl/>
        </w:rPr>
        <w:t xml:space="preserve">3.</w:t>
      </w:r>
      <w:r>
        <w:rPr>
          <w:lang w:bidi="he-IL"/>
          <w:rFonts w:hint="cs" w:cs="FrankRuehl"/>
          <w:szCs w:val="26"/>
          <w:rtl/>
        </w:rPr>
        <w:tab/>
        <w:t xml:space="preserve">בשנת הרישוי 2023 הקצאת המים השפירים להספקה באזור סובב כנרת, למטרת חקלאות, תהיה 92 מיליון מטרים מעוקבים.</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הקצאת מים שפירים למטרת חקלאות באזור הגליל העליון</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בשנת הרישוי 2023 הקצאות המים השפירים להספקה באזור הגליל העליון, למטרת חקלאות, יהיו לפי המפורט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כמות של 54 מיליון מטרים מעוקבים להספקה לחקלאות שאינה באדמות הכבול;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כמות של 17.2 מיליון מטרים מעוקבים להספקה לחקלאות באדמות הכבול.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עלתה שפיעת מעיינות הדן בפרסום הקובע על 5.5 מטרים מעוקבים בשנייה, רשאי מנהל הרשות הממשלתית להוסיף על הכמות הנקובה בסעיף קטן (א)(1), כמות של מיליון מטרים מעוקבים בשל כל עלייה של 0.1 מטרים מעוקבים בשנייה, ובלבד שסך כל התוספת לפי פסקת משנה זו לא יעלה על 19 מיליון מטרים מעוקבים; עלתה שפיעת מעיינות הדן על 7.4 מטרים מעוקבים בשנייה במועד מוקדם לפרסום הקובע, רשאי מנהל הרשות הממשלתית להקצות את מלוא התוספת המותרת לפי פסקת משנה זו, במועד מוקדם יותר.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עלתה שפיעת מעיינות הדן בפרסום הקובע על 6.25 מטרים מעוקבים בשנייה, רשאי מנהל הרשות הממשלתית להוסיף על הכמות הנקובה בסעיף קטן (א)(2) כמות של מיליון מטרים מעוקבים בשל כל עלייה של 0.2 מטרים מעוקבים בשנייה, ובלבד שסך כל התוספת לפי סעיף קטן זה לא יעלה על 5.7 מיליון מטרים מעוקבים; עלתה שפיעת מעיינות הדן על 7.4 מטרים מעוקבים בשנייה במועד מוקדם לפרסום הקובע, רשאי מנהל הרשות הממשלתית להקצות את מלוא התוספת המותרת לפי סעיף קטן זה, במועד מוקדם יותר.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מנהל הרשות הממשלתית רשאי להוסיף על הכמות הנקובה בסעיף קטן (א)(1) כמות של עד 10 מיליון מטרים מעוקבים להפקה מקידוחים שההפקה בהם אינה משפיעה בטווח הקצר על שפיעת המים העיליים באזור הגליל העליון.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מנהל הרשות הממשלתית יקצה את הכמויות הנקובות בסעיף זה באופן המפורט להלן ויורה ברישיונות ההפקה את התנאים שיבטיחו את האמור, לרבות תנאים בדבר תפעול מיתקני ההפקה: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הספיקה במורד התחנה ההידרומטרית "דן – הפרשל הגדול" לא תפחת מספיקה של 1.2 מטרים מעוקבים בשנייה בכל עת;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בחודשים ינואר עד מאי ואוקטובר עד דצמבר כמות המים במורד התחנה ההידרומטרית "ירדן – גשר הפקק" לא תפחת מספיקה של 2.5 מטרים מעוקבים בשנייה בכל עת;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בחודשים יוני עד ספטמבר הספיקה היומית הממוצעת במורד התחנה ההידרומטרית "ירדן – גשר הפקק" לא תפחת מספיקת הייחוס, והספיקה הרגעית לא תפחת משבעים אחוזים מספיקת הייחוס או מ-1.3 מטרים מעוקבים בשנייה, לפי הגבוה שבהם; והכול באופן שהחלוקה של כמות המים לאורך היום תיטיב את התנאים לקיום פעילות קיט ונופש; בפסקה זו, "ספיקת הייחוס" – שפיעת מעיינות הדן, כפי שמדדה הרשות הממשלתית בתחילת כל חודש מהחודשים שלהלן בהפחתה של כמות המטרים המעוקבים בשנייה הנקובה לצד כל אחד מהם: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חודש יוני – 3 מטרים מעוקבים בשנייה;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חודש יולי – 3 מטרים מעוקבים בשנייה;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חודש אוגוסט – 2.5 מטרים מעוקבים בשנייה;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חודש ספטמבר – 1.8 מטרים מעוקבים בשנייה.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נוסף על הכמות האמורה בפסקאות (א) עד (ד) יקצה מנהל הרשות הממשלתית כמות של 85 מיליון מטרים מעוקבים ממקורות מים עיליים להספקה למדגה מתועש; מנהל הרשות הממשלתית יקצה את הכמויות האמורות בפסקה זו באופן שהספיקה במורד התחנה ההידרומטרית "דן שמורת הטבע" לא תפחת מהספיקה המוזרמת אל המדגה המתועש במעלה התחנה ההידרומטרית האמורה, ויורה ברישיונות ההפקה וההספקה את התנאים שיבטיחו את התקיימות החלוקה האמורה.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הקצאת מים שפירים למטרת חקלאות באזור רמת הגולן</w:t>
                </w:r>
              </w:p>
            </w:txbxContent>
          </v:textbox>
        </v:rect>
      </w:pict>
      <w:r>
        <w:rPr>
          <w:lang w:bidi="he-IL"/>
          <w:rFonts w:hint="cs" w:cs="FrankRuehl"/>
          <w:szCs w:val="34"/>
          <w:rtl/>
        </w:rPr>
        <w:t xml:space="preserve">5.</w:t>
      </w:r>
      <w:r>
        <w:rPr>
          <w:lang w:bidi="he-IL"/>
          <w:rFonts w:hint="cs" w:cs="FrankRuehl"/>
          <w:szCs w:val="26"/>
          <w:rtl/>
        </w:rPr>
        <w:tab/>
        <w:t xml:space="preserve">בשנת הרישוי 2023 הקצאת המים השפירים להספקה באזור רמת הגולן, למטרת חקלאות, תהיה לפי המפורט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מים שפירים ממקורות מים עיליים המפורטים בתוספת השנייה – כמות כוללת של 12 מיליון מטרים מעוקבים;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עלתה שפיעת מעיינות הדן בפרסום הקובע על 5.5 מטרים מעוקבים בשנייה, רשאי מנהל הרשות הממשלתית להוסיף על הכמות הנקובה בפסקה (1) כמות של מיליון מטרים מעוקבים בשל כל עלייה של 0.5 מטרים מעוקבים בשנייה, ובלבד שסך כל התוספת לפי פסקה זו לא יעלה על 3 מיליון מטרים מעוקבים; עלתה שפיעת מעיינות הדן על 7.4 מטרים מעוקבים בשנייה במועד מוקדם לפרסום הקובע, רשאי מנהל הרשות הממשלתית להקצות את מלוא התוספת המותרת לפי פסקה זו, במועד מוקדם יותר;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כמות נוספת שלא תפחת מ-44 מיליון מטרים מעוקבים ולא תעלה על 49 מיליון מטרים מעוקבים מקידוחי מים וממאגרי מים באזור רמת הגולן וכן מהכנרת.</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הקצאת מים שפירים לחקלאות באזורים המסוימים</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בשנת הרישוי 2023 הקצאת המים השפירים להספקה למטרת חקלאות באזורים המסוימים, המנויים להלן, תהיה בכמויות המפורטות לצידם:</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באזור עמק המעיינות – כמות של 17 מיליון מטרים מעוקבים;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באזורים מחולה, בקעת הירדן וצפון ים המלח – כמות של 30.5 מיליון מטרים מעוקבים;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באזור עמק חרוד – 0.5 מיליון מטרים מעוקבים;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באזורים מרכז ים המלח, דרום ים המלח והערבה הצפונית – 8 מיליון מטרים מעוקבים;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באזור הערבה הדרומית – 3 מיליון מטרים מעוקבים.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מצא מנהל הרשות כי מצאי המים באזור מהאזורים המפורטים בסעיף קטן (א) מאפשר זאת, רשאי הוא, באישור מועצת הרשות, להוסיף על הכמות שהוקצתה לאותו האזור האמור, כמות של עד 25% מהכמות האמורה לפי העניין.</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הקצאת מים שפירים ומי קולחים לשימור ערכי טבע ונוף</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בשנת הרישוי 2023 הקצאת המים למטרת שימור ערכי טבע ונוף תהיה לפי המפורט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באזור המערכת הארצית – מים שפירים בכמות של 21 מיליון מטרים מעוקבים; מי קולחים ומים מליחים בכמות שלא תפחת מ-11 מיליון מטרים מעוקבים;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באזור רמת הגולן – מים שפירים בכמות של 1 מיליון מטרים מעוקבים;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באזור הגליל העליון – מים שפירים בכמות של 16 מיליון מטרים מעוקבים;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באזורים מרכז ים המלח, דרום ים המלח והערבה – מים שפירים בכמות של 0.5 מיליון מטרים מעוקבים.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מנהל הרשות הממשלתית יקצה את הכמויות האמורות בסעיף זה לאחר התייעצות עם המנהל הכללי של המשרד להגנת הסביבה ועם מנהל הרשות לשמירת הטבע והגנים הלאומיים, ובשים לב ליכולת ההספקה ולמערכות ההולכה וההספקה הקיימות לגבי כל אחד ממקורות המים.</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הקצאת מי קולחים ומי שפד"ן לחקלאות באזורים השונים</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
      </w:r>
      <w:hyperlink xmlns:r="http://schemas.openxmlformats.org/officeDocument/2006/relationships" w:history="true" r:id="R3ae802c020694091">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r>
        <w:rPr>
          <w:lang w:bidi="he-IL"/>
          <w:rFonts w:hint="cs" w:cs="FrankRuehl"/>
          <w:szCs w:val="26"/>
          <w:rtl/>
        </w:rPr>
        <w:b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מנהל הרשות הממשלתית יקצה למטרת חקלאות בשנת הרישוי 2023 כמות של 163 מיליון מטרים מעוקבים של מים ממפעל השפד"ן של מקורות חברת מים בע"מ.</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מנהל הרשות הממשלתית רשאי להוסיף על הכמויות הנקובות בסעיפים קטנים (א) ו-(ב) כמות לפי מצאי המים במפעל להשבת קולחים או במפעל השפד"ן של חברת מקורות בע"מ, לפי העניין.</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הבהרה למגבלת כמות</w:t>
                </w:r>
              </w:p>
            </w:txbxContent>
          </v:textbox>
        </v:rect>
      </w:pict>
      <w:r>
        <w:rPr>
          <w:lang w:bidi="he-IL"/>
          <w:rFonts w:hint="cs" w:cs="FrankRuehl"/>
          <w:szCs w:val="34"/>
          <w:rtl/>
        </w:rPr>
        <w:t xml:space="preserve">9.</w:t>
      </w:r>
      <w:r>
        <w:rPr>
          <w:lang w:bidi="he-IL"/>
          <w:rFonts w:hint="cs" w:cs="FrankRuehl"/>
          <w:szCs w:val="26"/>
          <w:rtl/>
        </w:rPr>
        <w:tab/>
        <w:t xml:space="preserve">מגבלת הכמות הנקובה בסעיפים 2, 3, 4, 5 ו-7 לא תמנע ממנהל הרשות לתת אישור להעברת מים להספקה למטרת חקלאות או למטרת שימור ערכי טבע ונוף מצרכן באזור הגליל העליון, באזור הגולן או סובב כנרת לצרכן באזור המערכת הארצית, ומצרכן באזור הגליל העליון או באזור הגולן לצרכן באזור סובב כנרת, שהיא העברה מותרת לפי סעיף 11 לתקנות המים (אמות מידה להקצאת מים לחקלאות), התשע"ח-2018.</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הקצאת כמות</w:t>
                </w:r>
              </w:p>
            </w:txbxContent>
          </v:textbox>
        </v:rect>
      </w:pict>
      <w:r>
        <w:rPr>
          <w:lang w:bidi="he-IL"/>
          <w:rFonts w:hint="cs" w:cs="FrankRuehl"/>
          <w:szCs w:val="34"/>
          <w:rtl/>
        </w:rPr>
        <w:t xml:space="preserve">10.</w:t>
      </w:r>
      <w:r>
        <w:rPr>
          <w:lang w:bidi="he-IL"/>
          <w:rFonts w:hint="cs" w:cs="FrankRuehl"/>
          <w:szCs w:val="26"/>
          <w:rtl/>
        </w:rPr>
        <w:tab/>
        <w:t xml:space="preserve">הוראה למנהל הרשות הממשלתית להקצות כמות משמעה גם הקצאתה בקירוב.</w:t>
      </w:r>
    </w:p>
    <w:p>
      <w:pPr>
        <w:bidi/>
        <w:spacing w:before="70" w:after="5" w:line="250" w:lineRule="auto"/>
        <w:jc w:val="center"/>
      </w:pPr>
      <w:defaultTabStop w:val="720"/>
      <w:bookmarkStart w:name="h11" w:id="11"/>
      <w:bookmarkEnd w:id="11"/>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(הגדרות "אזור סובב כנרת", "אזור רמת הגולן", "אזור הגליל העליון" בסעיף 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2bf24046b27646c0">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12" w:id="12"/>
      <w:bookmarkEnd w:id="12"/>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(סעיף 5)</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אזור רמת הגולן</w:t>
      </w:r>
    </w:p>
    <w:p>
      <w:pPr>
        <w:bidi/>
        <w:spacing w:before="45" w:after="50" w:line="250" w:lineRule="auto"/>
        <w:ind/>
        <w:jc w:val="both"/>
        <w:tabs>
          <w:tab w:pos="720"/>
          <w:tab w:pos="1440"/>
          <w:tab w:pos="2160"/>
          <w:tab w:pos="2880"/>
          <w:tab w:pos="3600"/>
        </w:tabs>
        <w:ind w:start="720" w:hanging="720"/>
      </w:pPr>
      <w:defaultTabStop w:val="720"/>
      <w:bookmarkStart w:name="h13" w:id="13"/>
      <w:bookmarkEnd w:id="13"/>
      <w:r>
        <w:rPr>
          <w:lang w:bidi="he-IL"/>
          <w:rFonts w:hint="cs" w:cs="FrankRuehl"/>
          <w:szCs w:val="34"/>
          <w:rtl/>
        </w:rPr>
        <w:t xml:space="preserve">(1)</w:t>
      </w:r>
      <w:r>
        <w:rPr>
          <w:lang w:bidi="he-IL"/>
          <w:rFonts w:hint="cs" w:cs="FrankRuehl"/>
          <w:szCs w:val="26"/>
          <w:rtl/>
        </w:rPr>
        <w:tab/>
        <w:t xml:space="preserve">מעיין גהה;</w:t>
      </w:r>
    </w:p>
    <w:p>
      <w:pPr>
        <w:bidi/>
        <w:spacing w:before="45" w:after="50" w:line="250" w:lineRule="auto"/>
        <w:ind/>
        <w:jc w:val="both"/>
        <w:tabs>
          <w:tab w:pos="720"/>
          <w:tab w:pos="1440"/>
          <w:tab w:pos="2160"/>
          <w:tab w:pos="2880"/>
          <w:tab w:pos="3600"/>
        </w:tabs>
        <w:ind w:start="720" w:hanging="720"/>
      </w:pPr>
      <w:defaultTabStop w:val="720"/>
      <w:bookmarkStart w:name="h14" w:id="14"/>
      <w:bookmarkEnd w:id="14"/>
      <w:r>
        <w:rPr>
          <w:lang w:bidi="he-IL"/>
          <w:rFonts w:hint="cs" w:cs="FrankRuehl"/>
          <w:szCs w:val="34"/>
          <w:rtl/>
        </w:rPr>
        <w:t xml:space="preserve">(2)</w:t>
      </w:r>
      <w:r>
        <w:rPr>
          <w:lang w:bidi="he-IL"/>
          <w:rFonts w:hint="cs" w:cs="FrankRuehl"/>
          <w:szCs w:val="26"/>
          <w:rtl/>
        </w:rPr>
        <w:tab/>
        <w:t xml:space="preserve">מעיין דיר עזיז;</w:t>
      </w:r>
    </w:p>
    <w:p>
      <w:pPr>
        <w:bidi/>
        <w:spacing w:before="45" w:after="50" w:line="250" w:lineRule="auto"/>
        <w:ind/>
        <w:jc w:val="both"/>
        <w:tabs>
          <w:tab w:pos="720"/>
          <w:tab w:pos="1440"/>
          <w:tab w:pos="2160"/>
          <w:tab w:pos="2880"/>
          <w:tab w:pos="3600"/>
        </w:tabs>
        <w:ind w:start="720" w:hanging="720"/>
      </w:pPr>
      <w:defaultTabStop w:val="720"/>
      <w:bookmarkStart w:name="h15" w:id="15"/>
      <w:bookmarkEnd w:id="15"/>
      <w:r>
        <w:rPr>
          <w:lang w:bidi="he-IL"/>
          <w:rFonts w:hint="cs" w:cs="FrankRuehl"/>
          <w:szCs w:val="34"/>
          <w:rtl/>
        </w:rPr>
        <w:t xml:space="preserve">(3)</w:t>
      </w:r>
      <w:r>
        <w:rPr>
          <w:lang w:bidi="he-IL"/>
          <w:rFonts w:hint="cs" w:cs="FrankRuehl"/>
          <w:szCs w:val="26"/>
          <w:rtl/>
        </w:rPr>
        <w:tab/>
        <w:t xml:space="preserve">מעיין כנף;</w:t>
      </w:r>
    </w:p>
    <w:p>
      <w:pPr>
        <w:bidi/>
        <w:spacing w:before="45" w:after="50" w:line="250" w:lineRule="auto"/>
        <w:ind/>
        <w:jc w:val="both"/>
        <w:tabs>
          <w:tab w:pos="720"/>
          <w:tab w:pos="1440"/>
          <w:tab w:pos="2160"/>
          <w:tab w:pos="2880"/>
          <w:tab w:pos="3600"/>
        </w:tabs>
        <w:ind w:start="720" w:hanging="720"/>
      </w:pPr>
      <w:defaultTabStop w:val="720"/>
      <w:bookmarkStart w:name="h16" w:id="16"/>
      <w:bookmarkEnd w:id="16"/>
      <w:r>
        <w:rPr>
          <w:lang w:bidi="he-IL"/>
          <w:rFonts w:hint="cs" w:cs="FrankRuehl"/>
          <w:szCs w:val="34"/>
          <w:rtl/>
        </w:rPr>
        <w:t xml:space="preserve">(4)</w:t>
      </w:r>
      <w:r>
        <w:rPr>
          <w:lang w:bidi="he-IL"/>
          <w:rFonts w:hint="cs" w:cs="FrankRuehl"/>
          <w:szCs w:val="26"/>
          <w:rtl/>
        </w:rPr>
        <w:tab/>
        <w:t xml:space="preserve">מעיין נוף;</w:t>
      </w:r>
    </w:p>
    <w:p>
      <w:pPr>
        <w:bidi/>
        <w:spacing w:before="45" w:after="50" w:line="250" w:lineRule="auto"/>
        <w:ind/>
        <w:jc w:val="both"/>
        <w:tabs>
          <w:tab w:pos="720"/>
          <w:tab w:pos="1440"/>
          <w:tab w:pos="2160"/>
          <w:tab w:pos="2880"/>
          <w:tab w:pos="3600"/>
        </w:tabs>
        <w:ind w:start="720" w:hanging="720"/>
      </w:pPr>
      <w:defaultTabStop w:val="720"/>
      <w:bookmarkStart w:name="h17" w:id="17"/>
      <w:bookmarkEnd w:id="17"/>
      <w:r>
        <w:rPr>
          <w:lang w:bidi="he-IL"/>
          <w:rFonts w:hint="cs" w:cs="FrankRuehl"/>
          <w:szCs w:val="34"/>
          <w:rtl/>
        </w:rPr>
        <w:t xml:space="preserve">(5)</w:t>
      </w:r>
      <w:r>
        <w:rPr>
          <w:lang w:bidi="he-IL"/>
          <w:rFonts w:hint="cs" w:cs="FrankRuehl"/>
          <w:szCs w:val="26"/>
          <w:rtl/>
        </w:rPr>
        <w:tab/>
        <w:t xml:space="preserve">מעיין עלמין ג'דידה;</w:t>
      </w:r>
    </w:p>
    <w:p>
      <w:pPr>
        <w:bidi/>
        <w:spacing w:before="45" w:after="50" w:line="250" w:lineRule="auto"/>
        <w:ind/>
        <w:jc w:val="both"/>
        <w:tabs>
          <w:tab w:pos="720"/>
          <w:tab w:pos="1440"/>
          <w:tab w:pos="2160"/>
          <w:tab w:pos="2880"/>
          <w:tab w:pos="3600"/>
        </w:tabs>
        <w:ind w:start="720" w:hanging="720"/>
      </w:pPr>
      <w:defaultTabStop w:val="720"/>
      <w:bookmarkStart w:name="h18" w:id="18"/>
      <w:bookmarkEnd w:id="18"/>
      <w:r>
        <w:rPr>
          <w:lang w:bidi="he-IL"/>
          <w:rFonts w:hint="cs" w:cs="FrankRuehl"/>
          <w:szCs w:val="34"/>
          <w:rtl/>
        </w:rPr>
        <w:t xml:space="preserve">(6)</w:t>
      </w:r>
      <w:r>
        <w:rPr>
          <w:lang w:bidi="he-IL"/>
          <w:rFonts w:hint="cs" w:cs="FrankRuehl"/>
          <w:szCs w:val="26"/>
          <w:rtl/>
        </w:rPr>
        <w:tab/>
        <w:t xml:space="preserve">נחל חרמון;</w:t>
      </w:r>
    </w:p>
    <w:p>
      <w:pPr>
        <w:bidi/>
        <w:spacing w:before="45" w:after="50" w:line="250" w:lineRule="auto"/>
        <w:ind/>
        <w:jc w:val="both"/>
        <w:tabs>
          <w:tab w:pos="720"/>
          <w:tab w:pos="1440"/>
          <w:tab w:pos="2160"/>
          <w:tab w:pos="2880"/>
          <w:tab w:pos="3600"/>
        </w:tabs>
        <w:ind w:start="720" w:hanging="720"/>
      </w:pPr>
      <w:defaultTabStop w:val="720"/>
      <w:bookmarkStart w:name="h19" w:id="19"/>
      <w:bookmarkEnd w:id="19"/>
      <w:r>
        <w:rPr>
          <w:lang w:bidi="he-IL"/>
          <w:rFonts w:hint="cs" w:cs="FrankRuehl"/>
          <w:szCs w:val="34"/>
          <w:rtl/>
        </w:rPr>
        <w:t xml:space="preserve">(7)</w:t>
      </w:r>
      <w:r>
        <w:rPr>
          <w:lang w:bidi="he-IL"/>
          <w:rFonts w:hint="cs" w:cs="FrankRuehl"/>
          <w:szCs w:val="26"/>
          <w:rtl/>
        </w:rPr>
        <w:tab/>
        <w:t xml:space="preserve">נחל משושים;</w:t>
      </w:r>
    </w:p>
    <w:p>
      <w:pPr>
        <w:bidi/>
        <w:spacing w:before="45" w:after="50" w:line="250" w:lineRule="auto"/>
        <w:ind/>
        <w:jc w:val="both"/>
        <w:tabs>
          <w:tab w:pos="720"/>
          <w:tab w:pos="1440"/>
          <w:tab w:pos="2160"/>
          <w:tab w:pos="2880"/>
          <w:tab w:pos="3600"/>
        </w:tabs>
        <w:ind w:start="720" w:hanging="720"/>
      </w:pPr>
      <w:defaultTabStop w:val="720"/>
      <w:bookmarkStart w:name="h20" w:id="20"/>
      <w:bookmarkEnd w:id="20"/>
      <w:r>
        <w:rPr>
          <w:lang w:bidi="he-IL"/>
          <w:rFonts w:hint="cs" w:cs="FrankRuehl"/>
          <w:szCs w:val="34"/>
          <w:rtl/>
        </w:rPr>
        <w:t xml:space="preserve">(8)</w:t>
      </w:r>
      <w:r>
        <w:rPr>
          <w:lang w:bidi="he-IL"/>
          <w:rFonts w:hint="cs" w:cs="FrankRuehl"/>
          <w:szCs w:val="26"/>
          <w:rtl/>
        </w:rPr>
        <w:tab/>
        <w:t xml:space="preserve">נחל סער.</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יחזקאל ליפשיץ</w:t>
                </w:r>
              </w:p>
              <w:p>
                <w:pPr>
                  <w:bidi/>
                  <w:spacing w:before="45" w:after="3" w:line="250" w:lineRule="auto"/>
                  <w:jc w:val="center"/>
                </w:pPr>
                <w:defaultTabStop w:val="720"/>
                <w:r>
                  <w:rPr>
                    <w:lang w:bidi="he-IL"/>
                    <w:rFonts w:hint="cs" w:cs="FrankRuehl"/>
                    <w:szCs w:val="22"/>
                    <w:rtl/>
                  </w:rPr>
                  <w:t xml:space="preserve">יושב ראש מועצת הרשותהממשלתית למים ולביוב</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המים (הסדר מפורט לאזור קיצוב), תשפ"ג-2023, נוסח עדכני נכון ליום 10.01.2023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0a877d71105b4100" /><Relationship Type="http://schemas.openxmlformats.org/officeDocument/2006/relationships/hyperlink" Target="http://www.water.gov.il" TargetMode="External" Id="R5f59793f429b4449" /><Relationship Type="http://schemas.openxmlformats.org/officeDocument/2006/relationships/hyperlink" Target="https://www.nevo.co.il/laws/#/63bbb74388f503154098da5f/clause/63bbc925b2b5e50574dc9d73" TargetMode="External" Id="R3ae802c020694091" /><Relationship Type="http://schemas.openxmlformats.org/officeDocument/2006/relationships/hyperlink" Target="https://www.nevo.co.il/laws/#/63bbb74388f503154098da5f/clause/63bbce5fb2b5e50574dc9d8f" TargetMode="External" Id="R2bf24046b27646c0" /><Relationship Type="http://schemas.openxmlformats.org/officeDocument/2006/relationships/header" Target="/word/header1.xml" Id="r97" /><Relationship Type="http://schemas.openxmlformats.org/officeDocument/2006/relationships/footer" Target="/word/footer1.xml" Id="r98" /></Relationships>
</file>