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964a083dc44e6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הספרים (חובת מסירה וציון הפרטים) (ספר הנחוץ לעבודתה של הכנסת), תשס"א-2001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ספר הנחוץ לעבודתה של הכנסת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סייגים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הספרים (חובת מסירה וציון הפרטים) (ספר הנחוץ לעבודתה של הכנסת), תשס"א-2001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 לחוק הספרים (חובת מסירה וציון הפרטים), תשס"א-2000 (להלן – חוק הספרים), ובאישור ועדת הכנסת, אני קובע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בכללים אלה, "ספר", "סרט", "תקליט" – כהגדרתם בחוק הספרים.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ספר הנחוץ לעבודתה של הכנסת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ספר הנחוץ לעבודתה של הכנסת הוא אחד מהמפורטים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ספר הגות, מחקר ועיון, העוסק באחד או יותר מהנושאים האלה: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איכות הסביבה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בריאות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גאוגרפיה, כולל מפות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דתות ועדות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היסטוריה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(ו)</w:t>
      </w:r>
      <w:r>
        <w:rPr>
          <w:lang w:bidi="he-IL"/>
          <w:rFonts w:hint="cs" w:cs="FrankRuehl"/>
          <w:szCs w:val="26"/>
          <w:rtl/>
        </w:rPr>
        <w:tab/>
        <w:t xml:space="preserve">חברה ותרבות ישראלית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(ז)</w:t>
      </w:r>
      <w:r>
        <w:rPr>
          <w:lang w:bidi="he-IL"/>
          <w:rFonts w:hint="cs" w:cs="FrankRuehl"/>
          <w:szCs w:val="26"/>
          <w:rtl/>
        </w:rPr>
        <w:tab/>
        <w:t xml:space="preserve">חינוך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(ח)</w:t>
      </w:r>
      <w:r>
        <w:rPr>
          <w:lang w:bidi="he-IL"/>
          <w:rFonts w:hint="cs" w:cs="FrankRuehl"/>
          <w:szCs w:val="26"/>
          <w:rtl/>
        </w:rPr>
        <w:tab/>
        <w:t xml:space="preserve">ידיעת העם והארץ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(ט)</w:t>
      </w:r>
      <w:r>
        <w:rPr>
          <w:lang w:bidi="he-IL"/>
          <w:rFonts w:hint="cs" w:cs="FrankRuehl"/>
          <w:szCs w:val="26"/>
          <w:rtl/>
        </w:rPr>
        <w:tab/>
        <w:t xml:space="preserve">יהודים בעולם וקליטת עליה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(י)</w:t>
      </w:r>
      <w:r>
        <w:rPr>
          <w:lang w:bidi="he-IL"/>
          <w:rFonts w:hint="cs" w:cs="FrankRuehl"/>
          <w:szCs w:val="26"/>
          <w:rtl/>
        </w:rPr>
        <w:tab/>
        <w:t xml:space="preserve">יחסי חוץ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(יא)</w:t>
      </w:r>
      <w:r>
        <w:rPr>
          <w:lang w:bidi="he-IL"/>
          <w:rFonts w:hint="cs" w:cs="FrankRuehl"/>
          <w:szCs w:val="26"/>
          <w:rtl/>
        </w:rPr>
        <w:tab/>
        <w:t xml:space="preserve">יחסי עבודה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(יב)</w:t>
      </w:r>
      <w:r>
        <w:rPr>
          <w:lang w:bidi="he-IL"/>
          <w:rFonts w:hint="cs" w:cs="FrankRuehl"/>
          <w:szCs w:val="26"/>
          <w:rtl/>
        </w:rPr>
        <w:tab/>
        <w:t xml:space="preserve">יחסים בין-לאומיים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(יג)</w:t>
      </w:r>
      <w:r>
        <w:rPr>
          <w:lang w:bidi="he-IL"/>
          <w:rFonts w:hint="cs" w:cs="FrankRuehl"/>
          <w:szCs w:val="26"/>
          <w:rtl/>
        </w:rPr>
        <w:tab/>
        <w:t xml:space="preserve">כלכלה, חשבונאות ומינהל עסקים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(יד)</w:t>
      </w:r>
      <w:r>
        <w:rPr>
          <w:lang w:bidi="he-IL"/>
          <w:rFonts w:hint="cs" w:cs="FrankRuehl"/>
          <w:szCs w:val="26"/>
          <w:rtl/>
        </w:rPr>
        <w:tab/>
        <w:t xml:space="preserve">לשון עברית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(טו)</w:t>
      </w:r>
      <w:r>
        <w:rPr>
          <w:lang w:bidi="he-IL"/>
          <w:rFonts w:hint="cs" w:cs="FrankRuehl"/>
          <w:szCs w:val="26"/>
          <w:rtl/>
        </w:rPr>
        <w:tab/>
        <w:t xml:space="preserve">מדע המדינה, מדינאות ופוליטיקה, משטר, פרלמנטריזם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(טז)</w:t>
      </w:r>
      <w:r>
        <w:rPr>
          <w:lang w:bidi="he-IL"/>
          <w:rFonts w:hint="cs" w:cs="FrankRuehl"/>
          <w:szCs w:val="26"/>
          <w:rtl/>
        </w:rPr>
        <w:tab/>
        <w:t xml:space="preserve">מדעי היהדות, משפטי עברי, מחשבת ישראל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(יז)</w:t>
      </w:r>
      <w:r>
        <w:rPr>
          <w:lang w:bidi="he-IL"/>
          <w:rFonts w:hint="cs" w:cs="FrankRuehl"/>
          <w:szCs w:val="26"/>
          <w:rtl/>
        </w:rPr>
        <w:tab/>
        <w:t xml:space="preserve">מזרח תיכון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(יח)</w:t>
      </w:r>
      <w:r>
        <w:rPr>
          <w:lang w:bidi="he-IL"/>
          <w:rFonts w:hint="cs" w:cs="FrankRuehl"/>
          <w:szCs w:val="26"/>
          <w:rtl/>
        </w:rPr>
        <w:tab/>
        <w:t xml:space="preserve">מינהל ציבורי ומדיניות ציבורית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(יט)</w:t>
      </w:r>
      <w:r>
        <w:rPr>
          <w:lang w:bidi="he-IL"/>
          <w:rFonts w:hint="cs" w:cs="FrankRuehl"/>
          <w:szCs w:val="26"/>
          <w:rtl/>
        </w:rPr>
        <w:tab/>
        <w:t xml:space="preserve">מסחר ותעשיה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(כ)</w:t>
      </w:r>
      <w:r>
        <w:rPr>
          <w:lang w:bidi="he-IL"/>
          <w:rFonts w:hint="cs" w:cs="FrankRuehl"/>
          <w:szCs w:val="26"/>
          <w:rtl/>
        </w:rPr>
        <w:tab/>
        <w:t xml:space="preserve">מקרא ותלמוד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(כא)</w:t>
      </w:r>
      <w:r>
        <w:rPr>
          <w:lang w:bidi="he-IL"/>
          <w:rFonts w:hint="cs" w:cs="FrankRuehl"/>
          <w:szCs w:val="26"/>
          <w:rtl/>
        </w:rPr>
        <w:tab/>
        <w:t xml:space="preserve">משפט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(כב)</w:t>
      </w:r>
      <w:r>
        <w:rPr>
          <w:lang w:bidi="he-IL"/>
          <w:rFonts w:hint="cs" w:cs="FrankRuehl"/>
          <w:szCs w:val="26"/>
          <w:rtl/>
        </w:rPr>
        <w:tab/>
        <w:t xml:space="preserve">סוציולוגיה ואנתרופולוגיה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(כג)</w:t>
      </w:r>
      <w:r>
        <w:rPr>
          <w:lang w:bidi="he-IL"/>
          <w:rFonts w:hint="cs" w:cs="FrankRuehl"/>
          <w:szCs w:val="26"/>
          <w:rtl/>
        </w:rPr>
        <w:tab/>
        <w:t xml:space="preserve">סטטיסטיקה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(כד)</w:t>
      </w:r>
      <w:r>
        <w:rPr>
          <w:lang w:bidi="he-IL"/>
          <w:rFonts w:hint="cs" w:cs="FrankRuehl"/>
          <w:szCs w:val="26"/>
          <w:rtl/>
        </w:rPr>
        <w:tab/>
        <w:t xml:space="preserve">ספרנות ומידע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(כה)</w:t>
      </w:r>
      <w:r>
        <w:rPr>
          <w:lang w:bidi="he-IL"/>
          <w:rFonts w:hint="cs" w:cs="FrankRuehl"/>
          <w:szCs w:val="26"/>
          <w:rtl/>
        </w:rPr>
        <w:tab/>
        <w:t xml:space="preserve">פילוסופיה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(כו)</w:t>
      </w:r>
      <w:r>
        <w:rPr>
          <w:lang w:bidi="he-IL"/>
          <w:rFonts w:hint="cs" w:cs="FrankRuehl"/>
          <w:szCs w:val="26"/>
          <w:rtl/>
        </w:rPr>
        <w:tab/>
        <w:t xml:space="preserve">פסיכולוגיה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(כז)</w:t>
      </w:r>
      <w:r>
        <w:rPr>
          <w:lang w:bidi="he-IL"/>
          <w:rFonts w:hint="cs" w:cs="FrankRuehl"/>
          <w:szCs w:val="26"/>
          <w:rtl/>
        </w:rPr>
        <w:tab/>
        <w:t xml:space="preserve">צבא וביטחון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(כח)</w:t>
      </w:r>
      <w:r>
        <w:rPr>
          <w:lang w:bidi="he-IL"/>
          <w:rFonts w:hint="cs" w:cs="FrankRuehl"/>
          <w:szCs w:val="26"/>
          <w:rtl/>
        </w:rPr>
        <w:tab/>
        <w:t xml:space="preserve">קרימינולוגיה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(כט)</w:t>
      </w:r>
      <w:r>
        <w:rPr>
          <w:lang w:bidi="he-IL"/>
          <w:rFonts w:hint="cs" w:cs="FrankRuehl"/>
          <w:szCs w:val="26"/>
          <w:rtl/>
        </w:rPr>
        <w:tab/>
        <w:t xml:space="preserve">רווחה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(ל)</w:t>
      </w:r>
      <w:r>
        <w:rPr>
          <w:lang w:bidi="he-IL"/>
          <w:rFonts w:hint="cs" w:cs="FrankRuehl"/>
          <w:szCs w:val="26"/>
          <w:rtl/>
        </w:rPr>
        <w:tab/>
        <w:t xml:space="preserve">שלטון מקומי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(לא)</w:t>
      </w:r>
      <w:r>
        <w:rPr>
          <w:lang w:bidi="he-IL"/>
          <w:rFonts w:hint="cs" w:cs="FrankRuehl"/>
          <w:szCs w:val="26"/>
          <w:rtl/>
        </w:rPr>
        <w:tab/>
        <w:t xml:space="preserve">תחבורה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(לב)</w:t>
      </w:r>
      <w:r>
        <w:rPr>
          <w:lang w:bidi="he-IL"/>
          <w:rFonts w:hint="cs" w:cs="FrankRuehl"/>
          <w:szCs w:val="26"/>
          <w:rtl/>
        </w:rPr>
        <w:tab/>
        <w:t xml:space="preserve">תיירות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(לג)</w:t>
      </w:r>
      <w:r>
        <w:rPr>
          <w:lang w:bidi="he-IL"/>
          <w:rFonts w:hint="cs" w:cs="FrankRuehl"/>
          <w:szCs w:val="26"/>
          <w:rtl/>
        </w:rPr>
        <w:tab/>
        <w:t xml:space="preserve">תכנון ובניה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(לד)</w:t>
      </w:r>
      <w:r>
        <w:rPr>
          <w:lang w:bidi="he-IL"/>
          <w:rFonts w:hint="cs" w:cs="FrankRuehl"/>
          <w:szCs w:val="26"/>
          <w:rtl/>
        </w:rPr>
        <w:tab/>
        <w:t xml:space="preserve">תקשורת ועיתונאות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רשומות ופסקי דין של בתי המשפט ובתי דין;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פרסומים של משרדי הממשלה;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ספרי יעץ ויען, לרבות אנציקלופדיות, מילונים ולקסיקונים, אטלסים וביבליוגרפיות;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תקליטור הכולל מידע באחד או יותר מהנושאים המפורטים בפסקה (1);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ספרות יפה ושירה בשפה העברית של יוצרים שהם תושבי ישראל;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ביוגרפיות של אישים שעיסוקם באחד מהנושאים האלה: מדע המדינה, מדינאות, פוליטיקה, משטר, פרלמנטריזם, משפט, מזרח תיכון, צבא וביטחון;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ספר שענינו מדע פופולרי, למעט ספר הדרכה;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קטלוגים של ספרים היוצאים לאור בישראל.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סייגים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יראו ספר, העוסק באחד מהנושאים המפורטים בסעיף 2, כספר הנחוץ לעבודתה של הכנסת, אם הוא אחד מהמפורטים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ספר שהוא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מיועד לילדים ולנוער;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משמש ללימוד בבתי ספר יסודיים ובחטיבות ביניים;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עוסק בנושאי בית ופנאי (בישול, טיולים, תחביבים, בידור, משחקים וכיוצא באלה);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עוסק בעניני אומנות ומוסיקה;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סרט עלילתי;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תקליט.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לא יראו כספר הנחוץ לעבודתה של הכנסת, ספר, שיושב ראש הכנסת, או מי שהוא הסמיך לשם כך, אישר, בכתב, בתשובה לשאלת מי שמוטלת עליו אחריות כאמור בסעיף 4 לחוק הספרים, כי הוא אינו נחוץ לעבודתה של הכנסת.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אברהם בורג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הכנסת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הספרים (חובת מסירה וציון הפרטים) (ספר הנחוץ לעבודתה של הכנסת), תשס"א-2001, נוסח עדכני נכון ליום 23.09.2022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0feb85ded97471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