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d982026b774e9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(ידיעה בשפה העברית, ואגרות בחינות בעברית, בדיני מדינת ישראל, באתיקה מקצועית החלה על עורכי דין זרים ובבחינת ההסמכה לעריכת דין),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ידיעה בשפה העברית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הוכחה בדרך אחרת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בוחנים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להיבחן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הנושאים בדיני מדינת 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הבחינות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מאגרות ודחיה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החזרות אגרה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(ידיעה בשפה העברית, ואגרות בחינות בעברית, בדיני מדינת ישראל, באתיקה מקצועית החלה על עורכי דין זרים ובבחינת ההסמכה לעריכת דין), תשכ"ב-1962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94 ו-109 לחוק לשכת עורכי הדין, 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ידיעה בשפה העברית</w:t>
                </w:r>
              </w:p>
            </w:txbxContent>
          </v:textbox>
        </v:rect>
      </w:pict>
      <w:r>
        <w:rPr>
          <w:lang w:bidi="he-IL"/>
          <w:rFonts w:hint="cs" w:cs="FrankRuehl"/>
          <w:szCs w:val="34"/>
          <w:rtl/>
        </w:rPr>
        <w:t xml:space="preserve">1.</w:t>
      </w:r>
      <w:r>
        <w:rPr>
          <w:lang w:bidi="he-IL"/>
          <w:rFonts w:hint="cs" w:cs="FrankRuehl"/>
          <w:szCs w:val="26"/>
          <w:rtl/>
        </w:rPr>
        <w:tab/>
        <w:t xml:space="preserve">אדם רשאי להוכיח ידיעה מספיקה בשפה העברית לצורך רישומו כמתמחה לפי סעיף 26(2) לחוק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בהמצאת תעודת בגרות שניתנה לו מטעם משרד החינוך והתרבות או על ידי בית ספר תיכון בישראל ונתאשרה על ידי משרד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בהמצאת תעודה שעמד בבחינה בשפה העברית שנקבעה לפי סעיף 39 לחוק (להלן – בחינה בעברית).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הוכחה בדרך אחרת</w:t>
                </w:r>
              </w:p>
            </w:txbxContent>
          </v:textbox>
        </v:rect>
      </w:pict>
      <w:r>
        <w:rPr>
          <w:lang w:bidi="he-IL"/>
          <w:rFonts w:hint="cs" w:cs="FrankRuehl"/>
          <w:szCs w:val="34"/>
          <w:rtl/>
        </w:rPr>
        <w:t xml:space="preserve">2.</w:t>
      </w:r>
      <w:r>
        <w:rPr>
          <w:lang w:bidi="he-IL"/>
          <w:rFonts w:hint="cs" w:cs="FrankRuehl"/>
          <w:szCs w:val="26"/>
          <w:rtl/>
        </w:rPr>
        <w:tab/>
        <w:t xml:space="preserve">הלשכה רשאית, מסיבות מיוחדות שיירשמו בהחלטתה, להרשות לאדם להוכיח ידיעה מספקת בשפה העברית בדרך אחרת מן הקבוע בסעיף 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בוחנים</w:t>
                </w:r>
              </w:p>
            </w:txbxContent>
          </v:textbox>
        </v:rect>
      </w:pict>
      <w:r>
        <w:rPr>
          <w:lang w:bidi="he-IL"/>
          <w:rFonts w:hint="cs" w:cs="FrankRuehl"/>
          <w:szCs w:val="34"/>
          <w:rtl/>
        </w:rPr>
        <w:t xml:space="preserve">3.</w:t>
      </w:r>
      <w:r>
        <w:rPr>
          <w:lang w:bidi="he-IL"/>
          <w:rFonts w:hint="cs" w:cs="FrankRuehl"/>
          <w:szCs w:val="26"/>
          <w:rtl/>
        </w:rPr>
        <w:tab/>
        <w:t xml:space="preserve">הלשכה רשאית לשלם לבוחנים בבחינות בעברית שכר כפי שיקבע הועד המרכזי.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להיבחן</w:t>
                </w:r>
              </w:p>
            </w:txbxContent>
          </v:textbox>
        </v:rect>
      </w:pict>
      <w:r>
        <w:rPr>
          <w:lang w:bidi="he-IL"/>
          <w:rFonts w:hint="cs" w:cs="FrankRuehl"/>
          <w:szCs w:val="34"/>
          <w:rtl/>
        </w:rPr>
        <w:t xml:space="preserve">4.</w:t>
      </w:r>
      <w:r>
        <w:rPr>
          <w:lang w:bidi="he-IL"/>
          <w:rFonts w:hint="cs" w:cs="FrankRuehl"/>
          <w:szCs w:val="26"/>
          <w:rtl/>
        </w:rPr>
        <w:tab/>
        <w:t xml:space="preserve">המבקש להיבחן בבחינה בעברית, בבחינות הלשכה בדיני מדינת ישראל, באתיקה מקצועית החלה על עורכי דין זרים או ובבחינת ההסמכה לעריכת דין יגיש בקשה על כך ללשכה.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הנושאים בדיני מדינת ישראל</w:t>
                </w:r>
              </w:p>
            </w:txbxContent>
          </v:textbox>
        </v:rect>
      </w:pict>
      <w:r>
        <w:rPr>
          <w:lang w:bidi="he-IL"/>
          <w:rFonts w:hint="cs" w:cs="FrankRuehl"/>
          <w:szCs w:val="34"/>
          <w:rtl/>
        </w:rPr>
        <w:t xml:space="preserve">5.</w:t>
      </w:r>
      <w:r>
        <w:rPr>
          <w:lang w:bidi="he-IL"/>
          <w:rFonts w:hint="cs" w:cs="FrankRuehl"/>
          <w:szCs w:val="26"/>
          <w:rtl/>
        </w:rPr>
        <w:tab/>
        <w:t xml:space="preserve">בקשה להיבחן בדיני מדינת ישראל תפרט את הנושאים שבדעת המבקש להיבחן בהם.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הבחינות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עם הגשת בקשה להיבחן ישולמו אגרות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640f8ca3aa2e451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האגרה תשולם כאמור בסעיף קטן (א) בין שהמבקש מתייצב לראשונה לאותה בחינה או לבחינה באותו נושא, ובין שכבר התייצב לבחינה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מאגרות ודחיה</w:t>
                </w:r>
              </w:p>
            </w:txbxContent>
          </v:textbox>
        </v:rect>
      </w:pict>
      <w:r>
        <w:rPr>
          <w:lang w:bidi="he-IL"/>
          <w:rFonts w:hint="cs" w:cs="FrankRuehl"/>
          <w:szCs w:val="34"/>
          <w:rtl/>
        </w:rPr>
        <w:t xml:space="preserve">7.</w:t>
      </w:r>
      <w:r>
        <w:rPr>
          <w:lang w:bidi="he-IL"/>
          <w:rFonts w:hint="cs" w:cs="FrankRuehl"/>
          <w:szCs w:val="26"/>
          <w:rtl/>
        </w:rPr>
        <w:tab/>
        <w:t xml:space="preserve">ראש הלשכה רשאי, בנסיבות מיוחדות, לפטור מתשלום אגרות הבחינות בדיני מדינת ישראל או בבחינת ההסמכה לעריכת דין, כולן או מקצתן, או לדחות את תשלומן.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החזרות אגרה</w:t>
                </w:r>
              </w:p>
            </w:txbxContent>
          </v:textbox>
        </v:rect>
      </w:pict>
      <w:r>
        <w:rPr>
          <w:lang w:bidi="he-IL"/>
          <w:rFonts w:hint="cs" w:cs="FrankRuehl"/>
          <w:szCs w:val="34"/>
          <w:rtl/>
        </w:rPr>
        <w:t xml:space="preserve">8.</w:t>
      </w:r>
      <w:r>
        <w:rPr>
          <w:lang w:bidi="he-IL"/>
          <w:rFonts w:hint="cs" w:cs="FrankRuehl"/>
          <w:szCs w:val="26"/>
          <w:rtl/>
        </w:rPr>
        <w:tab/>
        <w:t xml:space="preserve">שילם אדם אגרה בעד בחינה בדיני מדינת ישראל או בחינת ההסמכה לעריכת דין ולא התייצב לבחינה כולה או לבחינה בנושא פלוני, יוחזרו לו ארבע חמישיות של האגרה ששילם בעד הבחינה שלא התייצב 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9.</w:t>
      </w:r>
      <w:r>
        <w:rPr>
          <w:lang w:bidi="he-IL"/>
          <w:rFonts w:hint="cs" w:cs="FrankRuehl"/>
          <w:szCs w:val="26"/>
          <w:rtl/>
        </w:rPr>
        <w:tab/>
        <w:t xml:space="preserve">תקנות 5, 6, 12 ו-38 לתקנות המועצה המשפטית, תשי"ג-1953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 רוטנשטרייך</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(ידיעה בשפה העברית, ואגרות בחינות בעברית, בדיני מדינת ישראל, באתיקה מקצועית החלה על עורכי דין זרים ובבחינת ההסמכה לעריכת דין), תשכ"ב-1962,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02a0dccde3149a5" /><Relationship Type="http://schemas.openxmlformats.org/officeDocument/2006/relationships/hyperlink" Target="https://www.nevo.co.il/laws/#/60ae50812946bc0c05605f89/clause/60e2132f2f8b5c1a9f2f7649" TargetMode="External" Id="R640f8ca3aa2e4512" /><Relationship Type="http://schemas.openxmlformats.org/officeDocument/2006/relationships/header" Target="/word/header1.xml" Id="r97" /><Relationship Type="http://schemas.openxmlformats.org/officeDocument/2006/relationships/footer" Target="/word/footer1.xml" Id="r98" /></Relationships>
</file>