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26e834b73d4be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(פרסומת),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התואר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שחובה לציינם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אסורה</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מותרת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פרסומים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שיציין עורך דין שכיר בנייר מכתבים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פרסומי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כללי האתיקה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(פרסומת),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55 ו-109 לחוק לשכת עורכי הדין, התשכ"א-1961, ובאישור שר המשפטים וועדת החוקה חוק ומשפט של הכנסת,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התואר</w:t>
                </w:r>
              </w:p>
            </w:txbxContent>
          </v:textbox>
        </v:rect>
      </w:pict>
      <w:r>
        <w:rPr>
          <w:lang w:bidi="he-IL"/>
          <w:rFonts w:hint="cs" w:cs="FrankRuehl"/>
          <w:szCs w:val="34"/>
          <w:rtl/>
        </w:rPr>
        <w:t xml:space="preserve">1.</w:t>
      </w:r>
      <w:r>
        <w:rPr>
          <w:lang w:bidi="he-IL"/>
          <w:rFonts w:hint="cs" w:cs="FrankRuehl"/>
          <w:szCs w:val="26"/>
          <w:rtl/>
        </w:rPr>
        <w:tab/>
        <w:t xml:space="preserve">עורך דין רשאי לציין, בעל פה או בכתב, את דבר היותו עורך דין.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שחובה לציינם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עורך דין יציין את שמו ואת דבר היותו 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בנייר המכתבים המשרדי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חובה זו מוטלת עליו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ציין עורך דין את שמו על מסמך הקשור בעבודתו המקצועית, יוסיף לצד שמו את דבר היותו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דין יציין את מספר הרישום שלו בפנקס חברי לשכת עורכי הדין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המסמך הראשון שהוא מגיש בשם לקוחו בהליך בבית משפט, לרבות בית דין וכל ערכאה שיפוטית או מעין שיפוטית שהוקמה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שהוא מאשר;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מסמך אחר הכולל אישור או אימות על ידי עורך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אסורה</w:t>
                </w:r>
              </w:p>
            </w:txbxContent>
          </v:textbox>
        </v:rect>
      </w:pict>
      <w:r>
        <w:rPr>
          <w:lang w:bidi="he-IL"/>
          <w:rFonts w:hint="cs" w:cs="FrankRuehl"/>
          <w:szCs w:val="34"/>
          <w:rtl/>
        </w:rPr>
        <w:t xml:space="preserve">2א.</w:t>
      </w:r>
      <w:r>
        <w:rPr>
          <w:lang w:bidi="he-IL"/>
          <w:rFonts w:hint="cs" w:cs="FrankRuehl"/>
          <w:szCs w:val="26"/>
          <w:rtl/>
        </w:rPr>
        <w:tab/>
        <w:t xml:space="preserve">עורך דין לא יפרסם פרסומת אף אם היא עומדת בתנאים שנקבעו בכללים אלה, אם יש בה כדי להטעות את הציבור או לפגוע בו, או שהיא פוגעת בכבוד המקצוע.</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מותרת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פרסומת באמצעים המפורטים להלן בלבד מותרת לעורך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בעיתונות כתובה, במגזינים וכתבי עת שאין בהם כדי לפגוע בכבוד המקצוע; ככל האפשר, הפרסומת לא תהיה בסמיכות לפרסומים אחרים שיש בהם כדי לפגוע בכבוד המקצוע;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במדריכי טלפון;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בספרי 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במדריכים מקצועיים מסווגים;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באתרי אינטרנט, ברשתות חברתיות ובישומונים ייעודיים לעורכי דין; למעט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אתרי אינטרנט או יישומונים שמכילים תכנים של אלימות, פורנוגרפיה או תוכן בלתי חוקי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אתרי אינטרנט או יישומונים שמיועדים לקטינים;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אתרי אינטרנט או יישומונים אחרים שיש בהם כדי לפגוע בכבוד המקצוע;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פרסומת קופצת (Pop Up);</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בנייר המכתבים המשרדי שלו ובכל מסמך אחר היוצא ממשרדו;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בשלט משרדו, ובלבד ששלט כאמור יהיה על קיר הכניסה למשרד או בכניסה לבניין המשרד, ושגודלו וצורתו יהיו סבירים.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פרסומת יכול שתכלול פרטים כמפורט להלן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עורך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דבר היותו 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הוא נוטריון – דבר היותו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תאריו האקדמיים או הכשרתו כמגשר;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תואר שדין אחר מסדיר את השימוש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כשירותו לעסוק בעריכת דין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פירוט עורכי הדין העובדים בפועל עמו במשרדו, לרבות פרטים כאמור בסעיף קטן זה לגבי כל אחד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הפרטים הנוגעים למען המשרד ולדרכי התקשרות עם המשרד וכל שינוי בהם לרבות כתובת אלקטרונית של המשרד וכתובת אתר האינטרנט שלו,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שמות שותפים ועורכי דין שכירים שפרשו לגמלאות ושמות שותפים ועורכי דין שכירים שנפטרו, ובלבד שלצד שמותיהם יופיע ציון שנות פעילותם באותו 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תחומי עיסוקו של עורך הדין ושל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שעות קבלת קהל;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השפות שדובר עורך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מועד הסמכתו לעורך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מלל חופשי שעניינו הצעת שירות משפטי על ידי עורך הדין, שאינו כולל כל התייחסות לשכר הטרחה;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ספרים, מאמרים ועבודות מחקר בתחום המשפטי שחיבר עורך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משרות הוראה שבהן משמש עורך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תפקידים וחברות בלשכת עורכי הדין או בארגונים משפטיים בארץ או בחוץ לארץ בכפוף לאמור בפסקה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כל תפקיד שממלא עורך הדין או מילא בעבר, לרבות משרה ציבורית, שירות צבאי ובשירות המדינה בתחום המשפטי, ולמעט תפקיד שהוא ממלא על פי דין, כל עוד הוא מכהן בו, והוא תפקיד שיפוטי או מעין-שיפוטי או חברות בוועדות בחירה לתפקידים שיפוטיים או מעין-שיפוטיים;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פרטים נוספים המותרים לפי סעיפים קטנים (ג) עד (יב).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בפרסומת כאמור בסעיף קטן (א)(1) עד (3), רשאי עורך דין לפרסם מודעת פרסומת אחת באותו גיליון, אשר לא תעלה על רבע עמוד.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בפרסומת כאמור בסעיף קטן (א) רשאי עורך דין לפרסם סרטונים, לרבות ראיונות וסרטוני תדמית, תמונות ואיורים גרפיים, ובלבד שמתקיימים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להם קשר לשירות המקצועי שאותו מבקש עורך הדין להציע;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בהם כדי ליצור רושם מטעה;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בהם כדי לגרום, במישרין או בעקיפין, לזלזול בעורך דין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בהם כדי לפגוע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בפרסומת כאמור בסעיף קטן (א) רשאי עורך דין לפרסם תמונות שבהן הוא מופיע עם לקוחותיו וכן של עובדי משרדו אם אלו הצהירו בכתב כי הבינו שהם חופשיים לסרב לכך וכי מתן שירותיו של עורך הדין לא הותנה בפרסום שמם וכל עוד ההסכמה תקפה; הסכמת הלקוח או עובד המשרד תבטא את הבנתו לפרטי הפרסום ובכלל זה היכן תתפרסם התמונה ולמשך כמה 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עורך דין רשאי להוסיף באתר האינטרנט שלו או בדף האישי שלו ברשת החברתית קישור (link) לאתר אינטרנט אחר, ובלבד שהקישור נוגע באופן ישיר לעיסוקו המקצועי של עורך הדין, ולמעט קישור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לאתר אינטרנט שמכיל תכנים של אלימות, פורנוגרפיה או תוכן בלתי חוקי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לאתר אינטרנט המיועד לקטינים;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לאתר אינטרנט אחר שפוגע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פרסומת באתר האינטרנט של עורך הדין יכולה להיות מלווה במלל קולי או במוסיקה ששומרת על 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אתר אינטרנט של עורך דין לא יכלול, במישרין או בעקיפין, פרסומות של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עורך דין רשאי לציין באתר האינטרנט שלו שמות של לקוחות אשר הצהירו בכתב כי הבינו שהם חופשיים לסרב לכך וכי מתן שירותיו של עורך הדין לא הותנה בפרסום שמם וכל עוד ההסכמה תקפה; הסכמת הלקוח תבטא את הבנת הלקוח לפרטי הפרסום ובכלל זאת היכן יתפרסם שמו ולמשך כמה 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עורך דין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לפרסם מאמרים מקצועיים וראיונות וכן לנהל פורומים, והכול בלי שהוא שילם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לשלם בעד פרסום מאמרים מקצועיים, ראיונות וניהול פורומים ובלבד שייכתב מפורשות במקום הפרסום כי מדובר בפרסומת.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בפרסומת כאמור בסעיף קטן (א) רשאי עורך דין לפרסם המלצות, מכתבי תודה ודירוג במדריכי דירוג; המידע יימסר באופן שאין בו כדי ליצור רושם מטעה על אודות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עורך דין רשאי לפרסם באתר האינטרנט שלו טופסי פנייה מקוונים לייעוץ משפטי בשים לב כי הוא עומד בהוראות לפי 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נוסף על האמור בסעיף קטן (א), עורך דין רשאי לשלוח מידעון (ניוזלטר) לרשימת תפוצה של לקוחות משרדו שביקשו זאת ושל אחרים שביקשו זאת; המידעון יכול לכלול פרטים כמפורט בסעיפים קטנים (ב) עד (יב) וסעיף 5.</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פרסומים</w:t>
                </w:r>
              </w:p>
            </w:txbxContent>
          </v:textbox>
        </v:rect>
      </w:pict>
      <w:r>
        <w:rPr>
          <w:lang w:bidi="he-IL"/>
          <w:rFonts w:hint="cs" w:cs="FrankRuehl"/>
          <w:szCs w:val="34"/>
          <w:rtl/>
        </w:rPr>
        <w:t xml:space="preserve">3א.</w:t>
      </w:r>
      <w:r>
        <w:rPr>
          <w:lang w:bidi="he-IL"/>
          <w:rFonts w:hint="cs" w:cs="FrankRuehl"/>
          <w:szCs w:val="26"/>
          <w:rtl/>
        </w:rPr>
        <w:tab/>
        <w:t xml:space="preserve">עורך דין חייב לשמור לתקופה של שלוש שנים מיום הפסקת הפרסומת או שליחת המידעון עותק שלהם, לרבות רישום של מקומות הפרסום ומועדיו וכן רישום של מועדי שליחת המידעון, וימציאם ללשכה לפי דרישה.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שיציין עורך דין שכיר בנייר מכתבים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עורך דין שהוא עובד של עורך דין, או של מי שאינו עורך דין (להלן – המעסיק), ישתמש, בכפוף לכללים אלה, לצורך עיסוקו כעורך דין אצל אותו מעסיק, בנייר מכתבים הכולל את שם מעסיקו; היה המעסיק מי שאינו עורך דין ייווסף לאחר שם המעסיק – "הלשכה המשפטית", או ציון שם 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למנוע מעורך דין, שנוסף על עבודתו כעובד של המעסיק עוסק גם באופן עצמאי בעריכת דין, להשתמש, לצורך עבודתו המקצועית כעצמאי, בנייר מכתבים שבו צוינו הפרטים לפי סעיפים 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מתחולת כל הוראות כללים אלה על עורך דין שכיר.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פרסומי</w:t>
                </w:r>
              </w:p>
            </w:txbxContent>
          </v:textbox>
        </v:rect>
      </w:pict>
      <w:r>
        <w:rPr>
          <w:lang w:bidi="he-IL"/>
          <w:rFonts w:hint="cs" w:cs="FrankRuehl"/>
          <w:szCs w:val="34"/>
          <w:rtl/>
        </w:rPr>
        <w:t xml:space="preserve">5.</w:t>
      </w:r>
      <w:r>
        <w:rPr>
          <w:lang w:bidi="he-IL"/>
          <w:rFonts w:hint="cs" w:cs="FrankRuehl"/>
          <w:szCs w:val="26"/>
          <w:rtl/>
        </w:rPr>
        <w:tab/>
        <w:t xml:space="preserve">עורך דין רשאי לתת ללקוחותיו על פי פנייתם, ולאחרים הפונים אליו, מידע על אודות משרדו, ניסיונו והתיקים שבהם היה מעורב; המידע יימסר באופן שאין בו כדי ליצור רושם מטעה על אודות עורך הדין.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כללי האתיקה</w:t>
                </w:r>
              </w:p>
            </w:txbxContent>
          </v:textbox>
        </v:rect>
      </w:pict>
      <w:r>
        <w:rPr>
          <w:lang w:bidi="he-IL"/>
          <w:rFonts w:hint="cs" w:cs="FrankRuehl"/>
          <w:szCs w:val="34"/>
          <w:rtl/>
        </w:rPr>
        <w:t xml:space="preserve">6.</w:t>
      </w:r>
      <w:r>
        <w:rPr>
          <w:lang w:bidi="he-IL"/>
          <w:rFonts w:hint="cs" w:cs="FrankRuehl"/>
          <w:szCs w:val="26"/>
          <w:rtl/>
        </w:rPr>
        <w:tab/>
        <w:t xml:space="preserve">פרק ד' לכללי לשכת עורכי הדין (אתיקה מקצועית), התשמ"ו-1986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ח'אלד אחמד זועבי</w:t>
                </w:r>
              </w:p>
              <w:p>
                <w:pPr>
                  <w:bidi/>
                  <w:spacing w:before="45" w:after="3" w:line="250" w:lineRule="auto"/>
                  <w:jc w:val="center"/>
                </w:pPr>
                <w:defaultTabStop w:val="720"/>
                <w:r>
                  <w:rPr>
                    <w:lang w:bidi="he-IL"/>
                    <w:rFonts w:hint="cs" w:cs="FrankRuehl"/>
                    <w:szCs w:val="22"/>
                    <w:rtl/>
                  </w:rPr>
                  <w:t xml:space="preserve">יושב ראש המועצה הארצית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(פרסומת),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f319b20f087463b" /><Relationship Type="http://schemas.openxmlformats.org/officeDocument/2006/relationships/header" Target="/word/header1.xml" Id="r97" /><Relationship Type="http://schemas.openxmlformats.org/officeDocument/2006/relationships/footer" Target="/word/footer1.xml" Id="r98" /></Relationships>
</file>