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9fc1eabe374e6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(שלוחה בישראל של משרד עורכי דין זר),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פתיחת שלוחה בישראל</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עדכון פרטים</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(שלוחה בישראל של משרד עורכי דין זר),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98יג ו-109 לחוק לשכת עורכי הדין, התשכ"א-1961 (להלן – החוק), ובאישור שר המשפטים, מתקינה המועצה הארצית של לשכת עורכי הדין בישראל כללים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פתיחת שלוחה בישראל</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משרד עורכי דין זר כהגדרתו בסעיף 98א לחוק אשר מקיים שלוחה בישראל, ימסור ללשכה הודעה על כך שתכלול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שמותיהם של עורכי הדין ועורכי הדין הזרים אשר מועסקים בשלוחה בישראל, והאם הם מועסקים בה כשכירים, חברים או שותפים;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מען השלוחה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שמה של השלוחה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שמה של המדינה שבה נמצא מרכז פעילותו של המשרד, ואם המשרד הוא תאגיד, גם את שמה של מדינת התאגדותו.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משרד עורכי דין זר יצרף להודעתו האמורה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הוא תאגיד, תצהיר של אורגן מוסמך בתאגיד על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התאגיד התאגד מחוץ לישראל ומתקיימים לגביו כל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מטרתו מתן שירותים משפטיים;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מרכז פעילותו הוא מחוץ לישראל;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החברים או השותפים בתאגיד הם בעלי רישיון לעסוק בעריכת דין מחוץ לישראל תוך ציון אם כל החברים או השותפים הם בעלי רישיון עריכת דין או שמא רק חלקם הם בעלי רישיון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האם משתף המשרד בהכנסותיו את מי שאינו עורך דין או שאינו בעל רישיון לעסוק בעריכת דין מחוץ לישראל;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האם יש למשרד הגבלה על אחריות החברים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הוא יחיד, תצהיר של היחיד על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בעל רישיון לעסוק בעריכת דין במדינה מחוץ לישראל תוך ציון שם המדינה;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מרכז פעילותו הוא מחוץ לישראל;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האם משתף המשרד בהכנסותיו את מי שאינו עורך דין או שאינו בעל רישיון לעסוק בעריכת דין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תצהיר לפי סעיף קטן (ב)(1) או (2) יוגש בשפה העברית או האנגלית, או בשפה אחרת כשלצדו תרגום לשפה האנגלית או העברית שאושר לפי חוק הנוטריונים, התשל"ו-1976, ובכלל זה סעיף 50א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לפי סעיף זה תימסר בתוך 30 ימים מהיום שבו החלה השלוחה בישראל לפעול.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"תצהיר" – הצהרה בכתב שניתנה ואומתה לפי אחת מדרכים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לפי סעיף 15 לפקודת הראיות [נוסח חדש], התשל"א-1971;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לפי סעיף 7(5) או 50א לחוק הנוטריונים, התשל"ו-1976.</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עדכון פרטים</w:t>
                </w:r>
              </w:p>
            </w:txbxContent>
          </v:textbox>
        </v:rect>
      </w:pict>
      <w:r>
        <w:rPr>
          <w:lang w:bidi="he-IL"/>
          <w:rFonts w:hint="cs" w:cs="FrankRuehl"/>
          <w:szCs w:val="34"/>
          <w:rtl/>
        </w:rPr>
        <w:t xml:space="preserve">2.</w:t>
      </w:r>
      <w:r>
        <w:rPr>
          <w:lang w:bidi="he-IL"/>
          <w:rFonts w:hint="cs" w:cs="FrankRuehl"/>
          <w:szCs w:val="26"/>
          <w:rtl/>
        </w:rPr>
        <w:tab/>
        <w:t xml:space="preserve">חל שינוי כלשהו בפרט מן הפרטים הנקובים בסעיף 1, תימסר על כך הודעה ללשכה בדרך הקבועה באותו סעיף לא יאוחר מ-30 ימים מיום שאירע השינוי.</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צבי פירון</w:t>
                </w:r>
              </w:p>
              <w:p>
                <w:pPr>
                  <w:bidi/>
                  <w:spacing w:before="45" w:after="3" w:line="250" w:lineRule="auto"/>
                  <w:jc w:val="center"/>
                </w:pPr>
                <w:defaultTabStop w:val="720"/>
                <w:r>
                  <w:rPr>
                    <w:lang w:bidi="he-IL"/>
                    <w:rFonts w:hint="cs" w:cs="FrankRuehl"/>
                    <w:szCs w:val="22"/>
                    <w:rtl/>
                  </w:rPr>
                  <w:t xml:space="preserve">יושב ראש המועצה הארצית  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(שלוחה בישראל של משרד עורכי דין זר),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be79c5532284c96" /><Relationship Type="http://schemas.openxmlformats.org/officeDocument/2006/relationships/header" Target="/word/header1.xml" Id="r97" /><Relationship Type="http://schemas.openxmlformats.org/officeDocument/2006/relationships/footer" Target="/word/footer1.xml" Id="r98" /></Relationships>
</file>