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c04a2590de4f4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(שמירת חומר ארכיוני במשרדי עורכי דין),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השמירה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שותפות עורכי דין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לסעיף 2</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ארכיונו של עורך דין שנתמנה ממונה על עניניו המקצועיים</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(שמירת חומר ארכיוני במשרדי עורכי דין),  תשל"א-1971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 לחוק לשכת עורכי הדין, 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ארכיוני" – כל מסמך שבידי עורך דין עקב טיפולו בענין לקוחו, בין שערך אותו ובין שנמסר למשרדו;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כל כתב על גבי נייר או על גבי חומר אחר וכל תרשים, דיאגרמה, מפה, סרט של רשמקול או תצלום, העשויים לשמש ראיה.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השמירה</w:t>
                </w:r>
              </w:p>
            </w:txbxContent>
          </v:textbox>
        </v:rect>
      </w:pict>
      <w:r>
        <w:rPr>
          <w:lang w:bidi="he-IL"/>
          <w:rFonts w:hint="cs" w:cs="FrankRuehl"/>
          <w:szCs w:val="34"/>
          <w:rtl/>
        </w:rPr>
        <w:t xml:space="preserve">2.</w:t>
      </w:r>
      <w:r>
        <w:rPr>
          <w:lang w:bidi="he-IL"/>
          <w:rFonts w:hint="cs" w:cs="FrankRuehl"/>
          <w:szCs w:val="26"/>
          <w:rtl/>
        </w:rPr>
        <w:tab/>
        <w:t xml:space="preserve">כל עוד לא הוסכם אחרת בכתב בין עורך הדין לבין לקוחו, לא יהא עורך הדין חייב לשמור על החומר הארכיוני שלו יותר מחמש השנים הנמנות מיום סיום טיפולו של עורך הדין בענין שמסר לו הלקוח או מיום סיום ההליכים המשפטיים בהם ייצג עורך הדין את הלקוח, לפי הענין.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שותפות עורכי דין</w:t>
                </w:r>
              </w:p>
            </w:txbxContent>
          </v:textbox>
        </v:rect>
      </w:pict>
      <w:r>
        <w:rPr>
          <w:lang w:bidi="he-IL"/>
          <w:rFonts w:hint="cs" w:cs="FrankRuehl"/>
          <w:szCs w:val="34"/>
          <w:rtl/>
        </w:rPr>
        <w:t xml:space="preserve">3.</w:t>
      </w:r>
      <w:r>
        <w:rPr>
          <w:lang w:bidi="he-IL"/>
          <w:rFonts w:hint="cs" w:cs="FrankRuehl"/>
          <w:szCs w:val="26"/>
          <w:rtl/>
        </w:rPr>
        <w:tab/>
        <w:t xml:space="preserve">פורקה שותפות עורכי דין, חייב לפי כללים אלה בשמירת חומר ארכיוני של השותפות ממועד פירוקה ואילך אותו עורך-דין בלבד שלידיו נמסר החומר אגב הפירוק.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לסעיף 2</w:t>
                </w:r>
              </w:p>
            </w:txbxContent>
          </v:textbox>
        </v:rect>
      </w:pict>
      <w:r>
        <w:rPr>
          <w:lang w:bidi="he-IL"/>
          <w:rFonts w:hint="cs" w:cs="FrankRuehl"/>
          <w:szCs w:val="34"/>
          <w:rtl/>
        </w:rPr>
        <w:t xml:space="preserve">4.</w:t>
      </w:r>
      <w:r>
        <w:rPr>
          <w:lang w:bidi="he-IL"/>
          <w:rFonts w:hint="cs" w:cs="FrankRuehl"/>
          <w:szCs w:val="26"/>
          <w:rtl/>
        </w:rPr>
        <w:tab/>
        <w:t xml:space="preserve">על אף האמור בסעיף 2 לא יבער עורך דין חומר ארכיוני אלא אם הציע לפני כן במכתב רשום שנשלח ללקוח או ליורשים, לפי הכתובת הידועה לעורך הדין באותה עת מהמסמכים שבידיו או הרשומה במינהל האוכלוסין לקבלו בחזרה, להעתיקו או לצלמו והלקוח או היורשים לא עשו אחד מאלה תוך המועד שנקבע בהצעה.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ארכיונו של עורך דין שנתמנה ממונה על עניניו המקצועיים</w:t>
                </w:r>
              </w:p>
            </w:txbxContent>
          </v:textbox>
        </v:rect>
      </w:pict>
      <w:r>
        <w:rPr>
          <w:lang w:bidi="he-IL"/>
          <w:rFonts w:hint="cs" w:cs="FrankRuehl"/>
          <w:szCs w:val="34"/>
          <w:rtl/>
        </w:rPr>
        <w:t xml:space="preserve">4א.</w:t>
      </w:r>
      <w:r>
        <w:rPr>
          <w:lang w:bidi="he-IL"/>
          <w:rFonts w:hint="cs" w:cs="FrankRuehl"/>
          <w:szCs w:val="26"/>
          <w:rtl/>
        </w:rPr>
        <w:tab/>
        <w:t xml:space="preserve">הוראות הפרק השביעי א' לחוק יחולו גם על הטיפול בארכיונו של עורך דין כמשמעותו בסעיף 89א(א)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5.</w:t>
      </w:r>
      <w:r>
        <w:rPr>
          <w:lang w:bidi="he-IL"/>
          <w:rFonts w:hint="cs" w:cs="FrankRuehl"/>
          <w:szCs w:val="26"/>
          <w:rtl/>
        </w:rPr>
        <w:tab/>
        <w:t xml:space="preserve">כללים אלה לא יחולו על צוואות ועל מסמכים אחרים שנמסרו לעורך הדין למשמרת, על פי הסכם מפורש או מכללא, בשביל הלקוח או בשביל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6.</w:t>
      </w:r>
      <w:r>
        <w:rPr>
          <w:lang w:bidi="he-IL"/>
          <w:rFonts w:hint="cs" w:cs="FrankRuehl"/>
          <w:szCs w:val="26"/>
          <w:rtl/>
        </w:rPr>
        <w:tab/>
        <w:t xml:space="preserve">כללים אלה יחולו גם על חומר ארכיוני שבידי עורך דין ביום תחילתם.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תחילתם של כללים אלה היא כתום חודש מיום פרסומם ברשומות.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לכללים אלה ייקרא "כללי לשכת עורכי הדין (שמירת חומר ארכיוני במשרדי עורכי דין), תשל"א-1971".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 רוטנשטרייך</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(שמירת חומר ארכיוני במשרדי עורכי דין),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0b294c155847a5" /><Relationship Type="http://schemas.openxmlformats.org/officeDocument/2006/relationships/header" Target="/word/header1.xml" Id="r97" /><Relationship Type="http://schemas.openxmlformats.org/officeDocument/2006/relationships/footer" Target="/word/footer1.xml" Id="r98" /></Relationships>
</file>