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0c418abed64a4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עורכי-הדין (חברי גופים נבחרים או ממונים),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 על חברי מועצות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עורך דין חבר הכנסת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 על חברי גופים אחרים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כללי לשכת עורכי-הדין (חברי גופים נבחרים או ממונים), תשכ"ט-1969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109(4) לחוק לשכת עורכי-הדין, תשכ"א-1961, מתקינה המועצה הארצית של לשכת עורכי-הדין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 מועצת רשות מקומית, ועדת תכנון ובניה, מועצת איגוד ערים, לרבות ועדות משנה שלהן, וכן גוף הכפוף לאחת מהן או שהיא בעלת זכויות בו.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 על חברי מועצות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עורך דין שהוא חבר במועצה, או שטרם חלפה שנה מאז חדל להיות חבר 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יתייצב בשם שולחו בפני המועצה ולא ייצגו ולא יפעל בשמו בפניה;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ייצג את שולחו בכל ענין שבפני בית משפט, בית דין, ועדה או גוף שיפוטי או מעין שיפוטי אחר אם המועצה היא צד לאותו 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ישתתף בדיון ובהצבעה בישיבות המועצה, כאשר הענין העומד לדיון או להצבעה נוגע לאדם או גוף שעורך הדין מייצגו אותה עת בגדר תפקידיו המקצועיים.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פסקאות (1) ו-(2) לסעיף קטן (א) יחולו גם על עורך דין שהוא שותפו, מעבידו או עובדו של עורך דין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עורך דין חבר הכנסת</w:t>
                </w:r>
              </w:p>
            </w:txbxContent>
          </v:textbox>
        </v:rect>
      </w:pict>
      <w:r>
        <w:rPr>
          <w:lang w:bidi="he-IL"/>
          <w:rFonts w:hint="cs" w:cs="FrankRuehl"/>
          <w:szCs w:val="34"/>
          <w:rtl/>
        </w:rPr>
        <w:t xml:space="preserve">2א.</w:t>
      </w:r>
      <w:r>
        <w:rPr>
          <w:lang w:bidi="he-IL"/>
          <w:rFonts w:hint="cs" w:cs="FrankRuehl"/>
          <w:szCs w:val="26"/>
          <w:rtl/>
        </w:rPr>
        <w:tab/>
        <w:t xml:space="preserve">עורך דין שהוא חבר הכנסת לא יעסוק בעריכת דין באופן המעלה חשש של ניצול לרעה או השגת כל יתרון או העדפה בשל היותו חבר הכנסת.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 על חברי גופים אחרים</w:t>
                </w:r>
              </w:p>
            </w:txbxContent>
          </v:textbox>
        </v:rect>
      </w:pict>
      <w:r>
        <w:rPr>
          <w:lang w:bidi="he-IL"/>
          <w:rFonts w:hint="cs" w:cs="FrankRuehl"/>
          <w:szCs w:val="34"/>
          <w:rtl/>
        </w:rPr>
        <w:t xml:space="preserve">3.</w:t>
      </w:r>
      <w:r>
        <w:rPr>
          <w:lang w:bidi="he-IL"/>
          <w:rFonts w:hint="cs" w:cs="FrankRuehl"/>
          <w:szCs w:val="26"/>
          <w:rtl/>
        </w:rPr>
        <w:tab/>
        <w:t xml:space="preserve">עורך דין שהוא חבר בית דין, גוף שיפוטי או מעין שיפוטי אחר או חבר ועדה או גוף נבחר או ממונה של מוסד כל שהוא, לא ייצג את שולחו בפניהם בכל הליך שהוא.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לכללים אלה ייקרא "כללי לשכת עורכי-הדין (חברי גופים נבחרים או ממונים), תשכ"ט-1969".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 רוטנשטרייך</w:t>
                </w:r>
              </w:p>
              <w:p>
                <w:pPr>
                  <w:bidi/>
                  <w:spacing w:before="45" w:after="3" w:line="250" w:lineRule="auto"/>
                  <w:jc w:val="center"/>
                </w:pPr>
                <w:defaultTabStop w:val="720"/>
                <w:r>
                  <w:rPr>
                    <w:lang w:bidi="he-IL"/>
                    <w:rFonts w:hint="cs" w:cs="FrankRuehl"/>
                    <w:szCs w:val="22"/>
                    <w:rtl/>
                  </w:rPr>
                  <w:t xml:space="preserve">יושב ראש המועצה הארצית  של לשכת עורכי-הדין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עורכי-הדין (חברי גופים נבחרים או ממונים), תשכ"ט-1969,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fc3005612a406c" /><Relationship Type="http://schemas.openxmlformats.org/officeDocument/2006/relationships/header" Target="/word/header1.xml" Id="r97" /><Relationship Type="http://schemas.openxmlformats.org/officeDocument/2006/relationships/footer" Target="/word/footer1.xml" Id="r98" /></Relationships>
</file>