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cc6aaca8716402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איגוד ערים (נפת אשקלון) (שמירה על איכות הסביבה), תשל"ט-1979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האיגוד</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האיגוד</w:t>
                </w:r>
              </w:p>
            </w:tc>
            <w:tc>
              <w:tcPr>
                <w:tcW w:w="800" w:type="pct"/>
              </w:tcPr>
              <w:p>
                <w:pPr>
                  <w:bidi/>
                  <w:spacing w:before="45" w:after="5" w:line="250" w:lineRule="auto"/>
                </w:pPr>
                <w:defaultTabStop w:val="720"/>
                <w:r>
                  <w:rPr>
                    <w:lang w:bidi="he-IL"/>
                    <w:rFonts w:hint="cs" w:cs="Times New Roman"/>
                    <w:szCs w:val="24"/>
                    <w:rtl/>
                  </w:rPr>
                  <w:t xml:space="preserve">סעיף 1ב</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חלות הסעיפים 2 עד 49 לצו</w:t>
                </w:r>
              </w:p>
            </w:tc>
            <w:tc>
              <w:tcPr>
                <w:tcW w:w="800" w:type="pct"/>
              </w:tcPr>
              <w:p>
                <w:pPr>
                  <w:bidi/>
                  <w:spacing w:before="45" w:after="5" w:line="250" w:lineRule="auto"/>
                </w:pPr>
                <w:defaultTabStop w:val="720"/>
                <w:r>
                  <w:rPr>
                    <w:lang w:bidi="he-IL"/>
                    <w:rFonts w:hint="cs" w:cs="Times New Roman"/>
                    <w:szCs w:val="24"/>
                    <w:rtl/>
                  </w:rPr>
                  <w:t xml:space="preserve">סעיף 1ג</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האיגוד כסמכויות רשות מקומית</w:t>
                </w:r>
              </w:p>
            </w:tc>
            <w:tc>
              <w:tcPr>
                <w:tcW w:w="800" w:type="pct"/>
              </w:tcPr>
              <w:p>
                <w:pPr>
                  <w:bidi/>
                  <w:spacing w:before="45" w:after="5" w:line="250" w:lineRule="auto"/>
                </w:pPr>
                <w:defaultTabStop w:val="720"/>
                <w:r>
                  <w:rPr>
                    <w:lang w:bidi="he-IL"/>
                    <w:rFonts w:hint="cs" w:cs="Times New Roman"/>
                    <w:szCs w:val="24"/>
                    <w:rtl/>
                  </w:rPr>
                  <w:t xml:space="preserve">סעיף 1ד</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איגוד ערים (נפת אשקלון) (שמירה על איכות הסביבה), תשל"ט-1979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סמכויותי לפי סעיפים 2 ו-26(ב) לחוק איגודי ערים, תשט"ו-1955,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רשות מקומית ששמה נקוב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"איגוד", "מועצה", "השר" – כמשמעותם בסעיף 1 לצו איגוד ערים (הוראות אחידות), תשל"ז-1977 (להלן – צו הוראות אחידות).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האיגוד</w:t>
                </w:r>
              </w:p>
            </w:txbxContent>
          </v:textbox>
        </v:rect>
      </w:pict>
      <w:r>
        <w:rPr>
          <w:lang w:bidi="he-IL"/>
          <w:rFonts w:hint="cs" w:cs="FrankRuehl"/>
          <w:szCs w:val="34"/>
          <w:rtl/>
        </w:rPr>
        <w:t xml:space="preserve">1א.</w:t>
      </w:r>
      <w:r>
        <w:rPr>
          <w:lang w:bidi="he-IL"/>
          <w:rFonts w:hint="cs" w:cs="FrankRuehl"/>
          <w:szCs w:val="26"/>
          <w:rtl/>
        </w:rPr>
        <w:tab/>
        <w:t xml:space="preserve">מוקם בזה איגוד ערים שייקרא "איגוד ערים נפת אשקלון (שמירה על איכות הסביבה)".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האיגוד</w:t>
                </w:r>
              </w:p>
            </w:txbxContent>
          </v:textbox>
        </v:rect>
      </w:pict>
      <w:r>
        <w:rPr>
          <w:lang w:bidi="he-IL"/>
          <w:rFonts w:hint="cs" w:cs="FrankRuehl"/>
          <w:szCs w:val="34"/>
          <w:rtl/>
        </w:rPr>
        <w:t xml:space="preserve">1ב.</w:t>
      </w:r>
      <w:r>
        <w:rPr>
          <w:lang w:bidi="he-IL"/>
          <w:rFonts w:hint="cs" w:cs="FrankRuehl"/>
          <w:szCs w:val="26"/>
          <w:rtl/>
        </w:rPr>
        <w:tab/>
        <w:t xml:space="preserve">תפקידי האיגוד וסמכויותיו הם לפעול למניעה, מדידה ופיקוח על מזהמים סביבתיים במטרה לשמור על ולשפר את איכות המשאבים הטבעיים כגון: מים, אויר, ים וקרקע. למנוע מפגעים הנוצרים ע"י רעש, קרינה ופסולת מוצקת וכל מפגע סביבתי אחר ולהביא לשימור הקרקע, הנוף, ערכי הטבע וערכים ארכיטקטוניים.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חלות הסעיפים 2 עד 49 לצו</w:t>
                </w:r>
              </w:p>
            </w:txbxContent>
          </v:textbox>
        </v:rect>
      </w:pict>
      <w:r>
        <w:rPr>
          <w:lang w:bidi="he-IL"/>
          <w:rFonts w:hint="cs" w:cs="FrankRuehl"/>
          <w:szCs w:val="34"/>
          <w:rtl/>
        </w:rPr>
        <w:t xml:space="preserve">1ג.</w:t>
      </w:r>
      <w:r>
        <w:rPr>
          <w:lang w:bidi="he-IL"/>
          <w:rFonts w:hint="cs" w:cs="FrankRuehl"/>
          <w:szCs w:val="26"/>
          <w:rtl/>
        </w:rPr>
        <w:tab/>
        <w:t xml:space="preserve">הסעיפים 2 עד 49 לצו הוראות אחידות יהיו סעיפים 2 עד 49 גם לצו זה.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האיגוד כסמכויות רשות מקומית</w:t>
                </w:r>
              </w:p>
            </w:txbxContent>
          </v:textbox>
        </v:rect>
      </w:pict>
      <w:r>
        <w:rPr>
          <w:lang w:bidi="he-IL"/>
          <w:rFonts w:hint="cs" w:cs="FrankRuehl"/>
          <w:szCs w:val="34"/>
          <w:rtl/>
        </w:rPr>
        <w:t xml:space="preserve">1ד.</w:t>
      </w:r>
      <w:r>
        <w:rPr>
          <w:lang w:bidi="he-IL"/>
          <w:rFonts w:hint="cs" w:cs="FrankRuehl"/>
          <w:szCs w:val="26"/>
          <w:rtl/>
        </w:rPr>
        <w:tab/>
        <w:t xml:space="preserve">לשם ביצוע תפקידיו וסמכויותיו יהיו לאיגוד כל הסמכויות הנתונות לרשות מקומית על פי כל חיקוק; לצורך זה, בכל מקום בחיקוק שמדובר בו בעיריה, במועצה מקומית או בראש רשות מקומית, יראו כאילו מדובר באיגוד או ביושב ראש האיגוד, הכל לפי הענין, והוא כשאין הוראה אחרת בענין זה.</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3ece5d1d2f2497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איגוד ערים (נפת אשקלון) (שמירה על איכות הסביבה), תשל"ט-1979, נוסח עדכני נכון ליום 22.10.2022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b79bd9eedf641b6" /><Relationship Type="http://schemas.openxmlformats.org/officeDocument/2006/relationships/hyperlink" Target="https://www.nevo.co.il/laws/#/63391f78d29b0b6569f7d22d/clause/63392258d29b0b6569f7d28d" TargetMode="External" Id="R73ece5d1d2f2497b" /><Relationship Type="http://schemas.openxmlformats.org/officeDocument/2006/relationships/header" Target="/word/header1.xml" Id="r97" /><Relationship Type="http://schemas.openxmlformats.org/officeDocument/2006/relationships/footer" Target="/word/footer1.xml" Id="r98" /></Relationships>
</file>