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a54400dffc8448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הגנת הפרטיות (קביעת גופים ציבוריים), תשמ"ו-1986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גופים ציבוריים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צו הגנת הפרטיות (קביעת גופים ציבוריים), תשמ"ו-1986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23(2) לחוק הגנת הפרטיות, התשמ"א-1981 (להלן – החוק), ובאישור ועדת החוקה חוק ומשפט של הכנסת,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גופים ציבוריים</w:t>
                </w:r>
              </w:p>
            </w:txbxContent>
          </v:textbox>
        </v:rect>
      </w:pict>
      <w:r>
        <w:rPr>
          <w:lang w:bidi="he-IL"/>
          <w:rFonts w:hint="cs" w:cs="FrankRuehl"/>
          <w:szCs w:val="34"/>
          <w:rtl/>
        </w:rPr>
        <w:t xml:space="preserve">1.</w:t>
      </w:r>
      <w:r>
        <w:rPr>
          <w:lang w:bidi="he-IL"/>
          <w:rFonts w:hint="cs" w:cs="FrankRuehl"/>
          <w:szCs w:val="26"/>
          <w:rtl/>
        </w:rPr>
        <w:tab/>
        <w:t xml:space="preserve">כל אחד מן הגופים המפורטים להלן בטור א' הוא גוף ציבורי לענין פרק ד' לחוק, והוא רשאי בכפוף להוראות הפרק האמור, לקבל מידע וידיעות, למעט מידע עודף כמשמעותו בסעיף 23ה לחוק, מן הסוגים כמפורט לצדו בטור 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8f0521b1ddd48e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w:t>
      </w:r>
      <w:r>
        <w:rPr>
          <w:lang w:bidi="he-IL"/>
          <w:rFonts w:hint="cs" w:cs="FrankRuehl"/>
          <w:szCs w:val="26"/>
          <w:rtl/>
        </w:rPr>
        <w:tab/>
        <w:t xml:space="preserve">תחילתו של צו זה ביום ג' בטבת התשמ"ו (15 בדצמבר 1985).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הגנת הפרטיות (קביעת גופים ציבוריים), תשמ"ו-1986,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8ce703853de4ab1" /><Relationship Type="http://schemas.openxmlformats.org/officeDocument/2006/relationships/hyperlink" Target="https://www.nevo.co.il/laws/#/603d2405315508eb664882fa/clause/6044f25f315508eb6648992f" TargetMode="External" Id="R68f0521b1ddd48e9" /><Relationship Type="http://schemas.openxmlformats.org/officeDocument/2006/relationships/header" Target="/word/header1.xml" Id="r97" /><Relationship Type="http://schemas.openxmlformats.org/officeDocument/2006/relationships/footer" Target="/word/footer1.xml" Id="r98" /></Relationships>
</file>