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480e3358f4bd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נגעים בכותנה), תשי"ח-1958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המנהל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ביצוע ריסוסים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ריסוס לפי צו אישי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חומר הריסוס והכמות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מכונת ריסוס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נגעים בכותנה), תשי"ח-1958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3 ו-19 לחוק הגנת הצומח, תשט"ז-1956,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מנהל המחלקה להגנת הצומח לרבות אדם שהמנהל העביר לו את סמכויותיו לפי צו זה, כולן או מקצתן.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המנהל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התחייב בעל שדה כותנה לבדוק את שדהו ולמסור למנהל תסקירים בהתאם להוראותיו, רשאי המנהל לחייב אותו לרסס את צמחי הכותנה לשם ביעור נגעים אם הנגיעות הגיעה לאחוז שקבע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ביצוע ריסוסים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בעל שדה כותנה שלא חוייב על ידי המנהל כאמור בסעיף 2 או שלא מילא אחרי הוראות סעיף 2, ירסס, לפחות אחת לשבועיים, את צמחי הכותנה לשם ביעור נגעים.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ריסוס לפי צו אישי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מפקח על הצמח רשאי, בצו אישי, לצוות על בעל שדה כותנה לרסס את צמחי הכותנה לשם ביעור נגעים לעתים יותר מזומנות מהאמור בצו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חומר הריסוס והכמות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הריסוס לפי צו זה יבוצע בחומר ובכמות כפי שיורה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מכונת ריסוס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הריסוס לפי צו זה יבוצע במכונה, שאושרה לכך בכתב על ידי המנהל (להלן – מכונת ריסוס), בין שהיא מופעלת מהקרקע ובין מהאויר.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מכונת הריסוס תהיה מצויידת בעת הריסוס באביזרים מתאימים ליעילות הריסוס בהתאם לשלבי גידול הכותנה, כפי שיורה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מכונת הריסוס תהיה במצב תקין בעת הריסוס.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צו הגנת הצומח (ביעור תולעת הזיפית בכותנה), תשי"ז-1957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הגנת הצומח (ביעור נגעים בכותנה), תשי"ח-1958".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קדיש לוז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הצומח (ביעור נגעים בכותנה), תשי"ח-1958,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c905043224422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