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14b0f0a74784e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היבוא והיצוא (קבוצות יבוא),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מיון טובין שחל עליהם תקן רשמי לקבוצות יבוא</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שיוך תקנים רשמיים לקבוצות יבוא ופרסומם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שיוך תקן לקבוצת יבוא מספר 4</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על שינוי שיוך תקן רשמי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תיקונים עתידיים לשיוך לקבוצות יבוא</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bl>
        <w:br w:type="page"/>
      </w:r>
    </w:p>
    <w:p>
      <w:pPr>
        <w:bidi/>
        <w:spacing w:before="45" w:after="70" w:line="250" w:lineRule="auto"/>
        <w:jc w:val="center"/>
      </w:pPr>
      <w:defaultTabStop w:val="720"/>
      <w:r>
        <w:rPr>
          <w:lang w:bidi="he-IL"/>
          <w:rFonts w:hint="cs" w:cs="FrankRuehl"/>
          <w:szCs w:val="32"/>
          <w:rtl/>
        </w:rPr>
        <w:t xml:space="preserve">צו היבוא והיצוא (קבוצות יבוא),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ו-2א לפקודת היבוא והיצוא [נוסח חדש], התשל"ט-1979 (להלן – הפקודה), ובהתייעצות עם הממונה על התקינה לעניין סעיפים 1(2) ו-2(א)(1)(ג),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מיון טובין שחל עליהם תקן רשמי לקבוצות יבוא</w:t>
                </w:r>
              </w:p>
            </w:txbxContent>
          </v:textbox>
        </v:rect>
      </w:pict>
      <w:r>
        <w:rPr>
          <w:lang w:bidi="he-IL"/>
          <w:rFonts w:hint="cs" w:cs="FrankRuehl"/>
          <w:szCs w:val="34"/>
          <w:rtl/>
        </w:rPr>
        <w:t xml:space="preserve">1.</w:t>
      </w:r>
      <w:r>
        <w:rPr>
          <w:lang w:bidi="he-IL"/>
          <w:rFonts w:hint="cs" w:cs="FrankRuehl"/>
          <w:szCs w:val="26"/>
          <w:rtl/>
        </w:rPr>
        <w:tab/>
        <w:t xml:space="preserve">טובין שלגביהם חלה חובת התאמה לדרישות תקן רשמי, בהתאם להוראות חוק התקנים, התשי"ג-1953 (להלן – חוק התקנים), ימוינו בהתאם לשיוך התקן שאליו נדרשים להתאים, לארבע קבוצות, שלפיהן ייקבעו התנאים שנדרשים להתקיים לגבי הטובין לשם קבלת אישור עמידה בדרישות הממונה (בצו זה – קבוצות יבוא),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קבוצת יבוא מספר 1 – התנאים לקבלת אישור עמידה בדרישות הממונה לטובין שבמשלוח השייכים לקבוצה זו, הם קבלת אישור דגם ואישור 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קבוצת יבוא מספר 2 – התנאים לקבלת אישור עמידה בדרישות הממונה לטובין שבמשלוח השייכים לקבוצה זו,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אישור 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היבואן הגיש לממונה על התקינה הצהרה בדבר התאמת הטובין שבמשלוח לדרישות התקן הרשמי שחל עליהם וכן הצהרה כי הטובין שבמשלוח תואמים את הדגם שנבדק וקיבל אישור דגם כאמור בפסקת משנה (א), הכול לפי הוראות הפקודה והוראות הממונה על התקינה שנקבעו לפיה;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קבוצת יבוא מספר 3 – התנאי לקבלת אישור עמידה בדרישות הממונה לטובין שבמשלוח השייכים לקבוצה זו הוא הגשת הצהרה בדבר התאמת הטובין שבמשלוח לדרישת התקן הרשמי שחל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קבוצת יבוא מספר 4 – טובין המיועדים במהותם לשימוש בתעשייה בלבד, שהשחרור שלהם לא יהיה מותנה בקבלת אישור ת"ר כהגדרתו בתוספת השנייה לצו יבוא חופשי, התשע"ד-2014 (להלן – צו יבוא חופשי), ויינתן לגביהם היתר מראש לפי סעיף 2(ג)(2) לצו יבוא חופשי.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שיוך תקנים רשמיים לקבוצות יבוא ופרסומם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התקנים ישויכו לקבוצות יבוא, לפי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רשמי ישויך לקבוצת יבוא מספר 3, אלא אם כן מתקיים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נקבע בתוספת הראשונה, בכפוף לאמור בסעיף 2א(ד) לפקודה, כי התקן ישויך לקבוצת יבוא מספר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לפי הוראות הממונה על התקינה בתוקף סמכותו לפי סעיף 2א(ח)(1) לפקודה, אשר פורסמו ברשומות, שויך תקן, שטרם חלפה שנה ממועד הכניסה לתוקף של אכרזתו הראשונה (להלן – מועד האכרזה), לקבוצת יבוא מספר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בכפוף להוראות סעיף 2א(ג), (ד) או (ח)(2) לפקודה, נקבע בתוספת השנייה כי התקן ישויך לקבוצת יבוא מספר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תקן רשמי ששויך לקבוצת יבוא מספר 1 לפי הוראות הממונה על התקינה בהתאם להוראות פסקה (1)(ב), בתום שנה ממועד אכרזתו ישויך לקבוצת יבוא מספר 3, אלא אם כן נקבע לגביו אחרת לפי פסקה (1)(א) או (ג), לפי העניין; הודעה על שיוכו של תקן לקבוצת יבוא מספר 3 לפי הוראות פסקה זו, תפורסם באתר המשרד;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תקן רשמי ששויך לקבוצת יבוא מספר 1 או לקבוצת יבוא מספר 2 לפי הוראות פסקה (1), ישונה שיוכו לקבוצת יבוא מספר 3 אם נקבע כך בתוספת השלישית; הוראות פסקה זו חלות גם על תקן רשמי ששויך לקבוצת יבוא מספר 1 לפי הוראות הממונה על התקינה בהתאם להוראות פסקה (1)(א), וטרם חלפה שנה ממועד אכרזתו.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הרשימה המלאה והעדכנית של התקנים הרשמיים לפי שיוכם לקבוצות היבוא תתפרסם באתר המשרד ותעודכן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התקינה יפרסם אחת לשנה בהודעה ברשומות את נוסח התוספות הראשונה עד הרביעית המעודכנות, ואולם חובת הפרסום לפי סעיף קטן זה לא תחול בשנה שבה פרסם הממונה על התקינה הודעה לפי סעיף 6(ד).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שיוך תקן לקבוצת יבוא מספר 4</w:t>
                </w:r>
              </w:p>
            </w:txbxContent>
          </v:textbox>
        </v:rect>
      </w:pict>
      <w:r>
        <w:rPr>
          <w:lang w:bidi="he-IL"/>
          <w:rFonts w:hint="cs" w:cs="FrankRuehl"/>
          <w:szCs w:val="34"/>
          <w:rtl/>
        </w:rPr>
        <w:t xml:space="preserve">3.</w:t>
      </w:r>
      <w:r>
        <w:rPr>
          <w:lang w:bidi="he-IL"/>
          <w:rFonts w:hint="cs" w:cs="FrankRuehl"/>
          <w:szCs w:val="26"/>
          <w:rtl/>
        </w:rPr>
        <w:tab/>
        <w:t xml:space="preserve">על אף האמור בסעיף 2, תקן רשמי הנוגע לסוג טובין העומדים בתנאים הקבועים בסעיף 1(4), שנכלל בתוספת הרביעית, ישויך לקבוצת יבוא מספר 4, כל עוד לא נקבע לגביו אחרת.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על שינוי שיוך תקן רשמי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בטרם קביעה על שינוי שיוך תקן רשמי לפי סעיף 2(א)(1) או (3) או לפי סעיף 3, יפרסם הממונה על התקינה הודעה על הכוונה לקבוע את שינוי השיוך באתר האינטרנט של המשרד; הודעה כאמור תפורסם עד 30 ימים לפני פרסום הקביעה על שינוי השיוך בתוספת המתאימה לפי סעיף 2(א) או 3, אלא אם כן החליט השר או הממונה על התקינה אחרת לגבי שיוכו של תקן מסוים, בשל צורך חיוני לשינוי מהיר או דחיפות רבה.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התקינה יודיע על פרסום ההודעה כאמור סעיף קטן (א) לשרי הממשלה, ובכללם לשר הממונה כמשמעותו בסעיף 8(ד) לחוק התקנים, וליבואנים הרשומים; נוסף על האמור, הממונה על התקינה יודיע לפי סעיף קטן זה גם לגופים המפורטים להלן, ובלבד שאותם גופים הודיעו לממונה על נציג מטעמם שיהיה מוסמך לקבל את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איגוד לשכות המסחר;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התאחדות התעשיינים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ארגוני הצרכנים כהגדרתם בסעיף 31(ג) לחוק הגנת הצרכן,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שיוך של תקן רשמי ייכנס לתוקף בתום 30 ימים מיום פרסום הקביעה על שינוי השיוך בתוספת המתאימה לפי סעיף 2(א) או 3, אלא אם כן החליט השר או הממונה על התקינה כי שינוי השיוך ייכנס לתוקף במועד מאוחר יותר או מוקדם יותר, בשל צורך בתקופת היערכות ארוכה יותר או בשל צורך חיוני לשינוי מהיר או דחיפות רבה, לפי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5.</w:t>
      </w:r>
      <w:r>
        <w:rPr>
          <w:lang w:bidi="he-IL"/>
          <w:rFonts w:hint="cs" w:cs="FrankRuehl"/>
          <w:szCs w:val="26"/>
          <w:rtl/>
        </w:rPr>
        <w:tab/>
        <w:t xml:space="preserve">התקנים המפורטים בתוספת הראשונה, בתוספת השנייה, בתוספת השלישית או בתוספת הרביעית, ביום תחילתן של תקנות אלה, ישויכו לקבוצת יבוא מספר 1, קבוצת יבוא מספר 2, קבוצת יבוא מספר 3 או קבוצת יבוא מספר 4, לפי העניין, בלי שיחולו על אותו שיוך הוראות סעיף 4.</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תיקונים עתידיים לשיוך לקבוצות יבוא</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החל מיום י"ט באייר התשפ"א (1 במאי 2021) (להלן – הפעימה הראשונה), התקנים המפורטים בטבלת "פעימה 1" שבתוספת החמישית ישויכו לקבוצות היבוא המפורטות לצידם בעמודה שכותרתה "קבוצת יבוא חדשה" שבטבלה, ובהתאם לחלוקת התנאים המפורטת לצידם.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(בוטל)</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2(א)(1)(א))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f4a5d78548d48f3">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2(א)(1)(ג))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a911951c411456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2(א)(3))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de296112586469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e074a9b99f24e5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18606e568994bb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82dee16469a4fb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9862731fcc8454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עמיר פרץ</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היבוא והיצוא (קבוצות יבוא),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fff65abc30d4faf" /><Relationship Type="http://schemas.openxmlformats.org/officeDocument/2006/relationships/hyperlink" Target="https://www.nevo.co.il/laws/#/603f5cf7315508eb66488b16/clause/603f6aa4315508eb66488bae" TargetMode="External" Id="R4f4a5d78548d48f3" /><Relationship Type="http://schemas.openxmlformats.org/officeDocument/2006/relationships/hyperlink" Target="https://www.nevo.co.il/laws/#/603f5cf7315508eb66488b16/clause/603facf9315508eb66488c72" TargetMode="External" Id="Rba911951c411456e" /><Relationship Type="http://schemas.openxmlformats.org/officeDocument/2006/relationships/hyperlink" Target="https://www.nevo.co.il/laws/#/603f5cf7315508eb66488b16/clause/60463824315508eb66489f42" TargetMode="External" Id="Rfde2961125864692" /><Relationship Type="http://schemas.openxmlformats.org/officeDocument/2006/relationships/hyperlink" Target="https://www.nevo.co.il/laws/#/603f5cf7315508eb66488b16/clause/60463ad7315508eb66489f49" TargetMode="External" Id="R8e074a9b99f24e50" /><Relationship Type="http://schemas.openxmlformats.org/officeDocument/2006/relationships/hyperlink" Target="https://www.nevo.co.il/laws/#/603f5cf7315508eb66488b16/clause/60463c9a315508eb66489f50" TargetMode="External" Id="Rb18606e568994bb9" /><Relationship Type="http://schemas.openxmlformats.org/officeDocument/2006/relationships/hyperlink" Target="https://www.nevo.co.il/laws/#/603f5cf7315508eb66488b16/clause/6048a757315508eb6648a8bb" TargetMode="External" Id="Ra82dee16469a4fb4" /><Relationship Type="http://schemas.openxmlformats.org/officeDocument/2006/relationships/hyperlink" Target="https://www.nevo.co.il/laws/#/603f5cf7315508eb66488b16/clause/6048a8d7315508eb6648a8d6" TargetMode="External" Id="Rf9862731fcc84549" /><Relationship Type="http://schemas.openxmlformats.org/officeDocument/2006/relationships/header" Target="/word/header1.xml" Id="r97" /><Relationship Type="http://schemas.openxmlformats.org/officeDocument/2006/relationships/footer" Target="/word/footer1.xml" Id="r98" /></Relationships>
</file>