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33c7339e79b4eb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הכניסה לישראל (פטור מקבלת הסכמה למתן אשרה ורישיון ישיבה לעובד זר),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לגבי קרבן סחר לעיסוק בזנות</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צו הכניסה לישראל (פטור מקבלת הסכמה למתן אשרה ורישיון ישיבה לעובד זר), 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2(ג) לחוק הכניסה לישראל, התשי"ב-1952 (להלן – החוק),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לגבי קרבן סחר לעיסוק בזנות</w:t>
                </w:r>
              </w:p>
            </w:txbxContent>
          </v:textbox>
        </v:rect>
      </w:pict>
      <w:r>
        <w:rPr>
          <w:lang w:bidi="he-IL"/>
          <w:rFonts w:hint="cs" w:cs="FrankRuehl"/>
          <w:szCs w:val="34"/>
          <w:rtl/>
        </w:rPr>
        <w:t xml:space="preserve">1.</w:t>
      </w:r>
      <w:r>
        <w:rPr>
          <w:lang w:bidi="he-IL"/>
          <w:rFonts w:hint="cs" w:cs="FrankRuehl"/>
          <w:szCs w:val="26"/>
          <w:rtl/>
        </w:rPr>
        <w:tab/>
        <w:t xml:space="preserve">מתן אשרה או רישיון ישיבה לעובד זר שנעברה נגדו עבירה לפי סעיף 203א לחוק העונשין, התשל"ז-1977, או עבירות נלוות, והשוהה במקלט לקרבנות סחר בבני אדם לעיסוק בזנות שהוקם בהתאם להחלטת ממשלה מס' 2806, מיום כ"ו בכסלו התשס"ג (1 בדצמבר 2002), אינו טעון הסכמת שר התעשיה המסחר והתעסוקה כאמור בסעיף 2(ג) לחוק.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אברהם פורז</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הכניסה לישראל (פטור מקבלת הסכמה למתן אשרה ורישיון ישיבה לעובד זר), תשס"ד-2004,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d751cb5f273472f" /><Relationship Type="http://schemas.openxmlformats.org/officeDocument/2006/relationships/header" Target="/word/header1.xml" Id="r97" /><Relationship Type="http://schemas.openxmlformats.org/officeDocument/2006/relationships/footer" Target="/word/footer1.xml" Id="r98" /></Relationships>
</file>