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996fe96e807440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הכניסה לישראל (פטור – מעבר פארק שער הירדן),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לפטור</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הכניסה לישראל (פטור – מעבר פארק שער הירדן),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17(ב) לחוק הכניסה לישראל, התשי"ב-1952 (להלן – החוק), ולאחר התייעצות עם ועדת הפנים והגנת הסביבה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בצו זה, "פארק שער הירדן" – כהגדרתו בצו הכניסה לישראל (תחנות גבול) (מעבר פארק שער הירדן), התשע"ח-2018.</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2.</w:t>
      </w:r>
      <w:r>
        <w:rPr>
          <w:lang w:bidi="he-IL"/>
          <w:rFonts w:hint="cs" w:cs="FrankRuehl"/>
          <w:szCs w:val="26"/>
          <w:rtl/>
        </w:rPr>
        <w:tab/>
        <w:t xml:space="preserve">אדם היוצא מישראל לפארק שער הירדן או הנכנס לישראל מפארק שער הירדן ומחזיק באישור כניסה לפארק מאת מינהלת הפארק לפי החלטת הממשלה מס' 1036 (נג/1) (להלן – מורשה כניסה), פטור מהוראות סעיף 7 לחוק לעניין התייצבות לפני קצין ביקורת גבולות או בקר גבולות והצגת דרכון, תעודת מעבר או תעודה אחרת כאמור באותו סעיף, וכן הוא פטור מהוראות החוק בדבר אשרה ורישיון לישיבת מעבר או אשרה ורישיון לישיבת ביקור.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לפטור</w:t>
                </w:r>
              </w:p>
            </w:txbxContent>
          </v:textbox>
        </v:rect>
      </w:pict>
      <w:r>
        <w:rPr>
          <w:lang w:bidi="he-IL"/>
          <w:rFonts w:hint="cs" w:cs="FrankRuehl"/>
          <w:szCs w:val="34"/>
          <w:rtl/>
        </w:rPr>
        <w:t xml:space="preserve">3.</w:t>
      </w:r>
      <w:r>
        <w:rPr>
          <w:lang w:bidi="he-IL"/>
          <w:rFonts w:hint="cs" w:cs="FrankRuehl"/>
          <w:szCs w:val="26"/>
          <w:rtl/>
        </w:rPr>
        <w:tab/>
        <w:t xml:space="preserve">מורשה כניסה פטור מהוראות החוק כאמור בצו זה בתנאי שהוא שוהה בשטח פארק שער הירדן וכל עוד הוא שוהה בשטח זה בלבד.</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הכניסה לישראל (פטור – מעבר פארק שער הירדן),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76e96c876754414" /><Relationship Type="http://schemas.openxmlformats.org/officeDocument/2006/relationships/header" Target="/word/header1.xml" Id="r97" /><Relationship Type="http://schemas.openxmlformats.org/officeDocument/2006/relationships/footer" Target="/word/footer1.xml" Id="r98" /></Relationships>
</file>