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9a1376a64423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האזורית תמר לבין העיריות דימונה, ירוחם וערד, המועצות האזוריות אל-קסום, הערבה התיכונה, נווה מדבר ורמת נגב והמועצות המקומיות כסיפה וערערה בנגב),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עודף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האזורית תמר לבין העיריות דימונה, ירוחם וערד, המועצות האזוריות אל-קסום, הערבה התיכונה, נווה מדבר ורמת נגב והמועצות המקומיות כסיפה וערערה בנגב),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34א לפקודת המועצות המקומיות,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המתקבלות מאזור חלוקת ההכנסות כאמור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1:30,000, החתומה ביד שרת הפנים ביום כ"ז בסיוון התשפ"ב (26 ביוני 2022), ושהעתקים ממנה מופקדים במשרד הפנים בירושלים, במשרד הממונה על מחוז הדרום,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"עודף הכנסות" – 95% מההכנסות;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העיריות דימונה, ירוחם וערד, המועצות האזוריות אל-קסום, הערבה התיכונה, נווה מדבר, רמת נגב ותמר והמועצות המקומיות כסיפה וערערה בנגב;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 המקבלות" – העיריות דימונה, ירוחם וערד, המועצות האזוריות אל-קסום, הערבה התיכונה, נווה מדבר ורמת נגב והמועצות המקומיות כסיפה וערערה בנגב.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כמפורט להלן וכמסומן במפה: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גושים 39199, 39200, 39204, 39205, 39685, 39687, 39688 – בשלמותם;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גוש 39201 – חלק מחלקה 1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גוש 39203 – חלק מחלקה 1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גוש 39682 – חלק מחלקות 1 עד 3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גוש 39683 – חלק מחלקה 6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גוש 39684 – חלקות 4 עד 6 וחלק מחלקות 1 עד 3, 7 ו-8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גוש 39686 – חלק מחלקה 1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גוש 39689 – חלק מחלקות 3 ו-4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גוש 39690 – חלק מחלקות 1 עד 3 כמסומן במפה;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גוש 39691 – חלקות 1, 6, 7 וחלק מחלקות 2, 4 ו-9 כמסומן במפה.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עודף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עודף ההכנסות יחולק בין הרשויות המקומיות המקבלות בשיעורים מסך כל עודף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אל-קסום – 10.5%;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עיריית דימונה – 16.3%;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עיריית ירוחם – 11.2%;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כסיפה – 12.8%;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נווה מדבר – 10.2%;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הערבה התיכונה – 4.9%;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עיריית ערד – 13.4%;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ערערה בנגב – 13%;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רמת הנגב – 7.7%.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תמר תעביר לרשויות המקומיות המקבלות את עודף ההכנסות כמפורט בסעיף קטן (א) או (ב), לפי העניין.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המועצה האזורית תמר יערוך בכל רבעון דוח רבעוני של ההכנסות באזור חלוקת ההכנסות (להלן – הדוח הרבעוני), ולפיו יועברו עודפי ההכנסות לרשויות המקומיות המקבלות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תמר תעביר לרשויות המקומיות המקבלות את הדוח הרבעוני ואת עודף ההכנסות בתוך 30 ימים מתום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הרשויות המקומיות המקבלות רשאיות בתוך 21 ימים מיום שהועבר לידיהן הדוח הרבעוני, לדרוש מהמועצה האזורית תמר כל מידע הנוגע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נדרשה המועצה האזורית תמר להמציא מידע כאמור בסעיף קטן (ג)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הועבר עודף ההכנסות לרשויות המקומיות המקבלות במועד, יישאו התקבולים ריבית בשיעור ריבית פיגורים כמשמעותה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תחילתו של סעיף 3(ב) ביום י"ב בטבת התשפ"ו (1 בינואר 2026).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1, בתקופה שעד יום ז׳ בטבת התשפ"ג (31 בדצמבר 2022), יראו כאילו בהגדרת "הכנסות", במקום "הכנסות מארנונה" בא "מחצית ההכנסות מארנונה".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3(ב)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בתקופה שמיום י"ב בטבת התשפ"ו (1 בינואר 2026) עד יום כ"א בטבת התשפ"ז (31 בדצמבר 2026), יראו כאילו בסעיף האמור, במקום "60%" בא "50%";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בתקופה שמיום כ"ב בטבת התשפ"ז (1 בינואר 2027) עד יום א' בטבת התשפ"ח (31 בדצמבר 2027), יראו כאילו בסעיף האמור, במקום "60%" בא "55%".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המועצות המקומיות (חלוקת הכנסות בין המועצה האזורית תמר לבין העיריות דימונה, ירוחם וערד, המועצות האזוריות אל-קסום, הערבה התיכונה, נווה מדבר ורמת נגב והמועצות המקומיות כסיפה וערערה בנגב), תשפ"ב-2022,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6f7196777804af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