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a373a2298473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זכויות יוצרים, מבצעים ומשדרים (אמנת רומא), תשס"ג-2002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זכויות מבצעים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זכויות יצרני רישמות 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זכויות תאגידי שידור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זכויות יוצרים, מבצעים ומשדרים (אמנת רומא), תשס"ג-2002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לפקודת זכות יוצרים, סעיף 13(ב) לחוק זכויות מבצעים ומשדרים, התשמ"ד-1984 (להלן – חוק זכויות מבצעים),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"אמנת רומא" – האמנה להגנת מבצעים, יצרני רישמות קול, וארגוני שידור, שנחתמה ברומא בשנת 1961;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"ארגון שידור" – מי שמקיים שידורי רדיו או טלוויזיה;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"יצרן" של רישמת קול – מי שטובע לראשונה את צלילי הביצוע או צלילים אחרים;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"מדינה חברה" – מדינה החברה באמנת רומא;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"פרסום" – כמשמעותו בחוק זכות יוצרים, 1911, ובפקודת זכות יוצרים;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"רישמת קול" – טביעה קולית בלבד של צלילי ביצוע או צלילים אחרים;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"שידור" ו"שידור משנה" – כמשמעותם באמנת רומא.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כל מונח בצו זה שלא הוגדר, יתפרש לפי הוראות חוק זכות יוצרים, 1911, פקודת זכות יוצרים, חוק זכויות מבצעים ואמנת רומא,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זכויות מבצעים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ביצוע חי שמתקיים בו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נעשה במדינה חברה;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אם הוטבע ברישמת קול – רישמת הקול מוגנת בישראל לפי הוראות סעיף 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הוא נכלל בשידור המוגן בישראל לפי הוראות סעיף 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יחולו עליו הוראות חוק זכויות מבצעים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סעיף 2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פסקאות (1) ו-(2), וכן (4);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פסקה (3) רישה, ביחס לשידור של הביצוע החי בזמן ביצועו או של טביעה בלתי מורשית שלו, ולמעט שידור משנה;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סעיפים 1, 3, 4, 5, 8, 9, 10, 11 ו-14 עד 17.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זכויות יצרני רישמות 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הוראות סעיף 19(1) לחוק זכות יוצרים, 1911, יחולו על רישמת קול שהיצרן שלה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אזרח מדינה חברה או שפורסמה לראשונה במדינה חברה – ביחס ליצירת העתקות 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אזרח מדינה חברה המעניקה זכויות דומות ליצרנים ישראליים של רישמות קול או למבצעים ישראליים, המנויה בתוספת – ביחס לשימוש בה במישרין לשידור או לביצוע פומבי.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זכויות תאגידי שידור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שידור שמתקיימים בו 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מרכז עסקיו של ארגון השידור הוא במדינה חברה;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השידור נעשה ממיתקן שידור הממוקם במדינה חברה;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יחולו עליו הוראות חוק זכויות מבצעים,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סעיף 4א , ולענין שידור משנה – למעט הסייגים לפסקה (5);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סעיף 4ג;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סעיף 4ד והסעיפים הנזכרים בו, אך לענין זה לא יחולו סעיפים 6 ו-7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י"ט בטבת התשס"ג (24 בדצמבר 2002).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3(2))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מדינות המעניקות זכות לתמלוגים למפיקי תקליטים או מבצעים ישראליים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זכויות יוצרים, מבצעים ומשדרים (אמנת רומא), תשס"ג-2002,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92f08e204c84f1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