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62afca4ee66449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אבו סנאן – שכונה צפונית),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אבו סנאן – שכונה צפונית),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3(א)(2) לחוק לקידום הבנייה במתחמים מועדפים (הוראת שעה), התשע"ד-2014 (להלן – החוק), ובהמלצת מנהלת מינהל התכנון כאמור בסעיף 3(ב) לחוק, לאחר שהתקיימו התנאים שבחוק,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אבו סנאן – שכונה צפונית המתואר בצו זה (להלן – המתחם) מוכרז בזה מתחם מועדף לדיור.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r>
      <w:r>
        <w:rPr>
          <w:lang w:bidi="he-IL"/>
          <w:rFonts w:hint="cs" w:cs="FrankRuehl"/>
          <w:szCs w:val="26"/>
          <w:rtl/>
        </w:rPr>
        <w:tab/>
        <w:t xml:space="preserve">גודלו של המתחם הוא כ-1,120 דונם, מיקומו בתחום מחוז הצפון; המתחם ברובו מצוי בתחום השיפוט של המועצה המקומית אבו סנאן, ומיעוטו בתחומי המועצה האזורית מטה אשר והמועצה המקומית ירכא; המתחם ממוקם צפונית לאבו סנאן, מערבית לכפר ירכא ודרומית מזרחית לעמקה ואשרה; 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הצפון ובמשרדי הרשויות המקומיות האמורות.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98739c5dc9cc43f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אבו סנאן – שכונה צפונית),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a18dc30701c4d61" /><Relationship Type="http://schemas.openxmlformats.org/officeDocument/2006/relationships/hyperlink" Target="https://www.nevo.co.il/laws/#/628c59d83d5b530882ab321d/clause/628c5b993d5b530882ab3235" TargetMode="External" Id="R98739c5dc9cc43f4" /><Relationship Type="http://schemas.openxmlformats.org/officeDocument/2006/relationships/header" Target="/word/header1.xml" Id="r97" /><Relationship Type="http://schemas.openxmlformats.org/officeDocument/2006/relationships/footer" Target="/word/footer1.xml" Id="r98" /></Relationships>
</file>