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2e4cda6620841e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פינוי בינוי אשדוד – הרב מימון),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פינוי בינוי אשדוד – הרב מימון),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3(א)(3) לחוק לקידום הבנייה במתחמים מועדפים (הוראת שעה), התשע"ד-2014, ובהמלצת מנהלת מינהל התכנון, כאמור בסעיף 3(ב) לחוק, לאחר שהתקיימו התנאים 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אשדוד – הרב מימון המתואר בצו זה (להלן – המתחם) מוכרז בזה מתחם מועדף לדיור.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r>
      <w:r>
        <w:rPr>
          <w:lang w:bidi="he-IL"/>
          <w:rFonts w:hint="cs" w:cs="FrankRuehl"/>
          <w:szCs w:val="26"/>
          <w:rtl/>
        </w:rPr>
        <w:tab/>
        <w:t xml:space="preserve">גודלו של המתחם הוא כ-35 דונם, מיקומו בתחום מחוז הדרום; המתחם מצוי בתחום השיפוט של הרשות המקומית אשדוד, ברובע ב' בצפון העיר, בין הרחובות יצחק הנשיא בדרום, הרב מימון במערב, הנשיא ויצמן ממזרח ורח' בורוכוב/רח' הרצוג מצפון; גבולותיו הם כמסומן במפה שהעתקים ממנה מופקדים לעיון הציבור במשרדי הוועדה למתחמים מועדפים לדיור במשרד הפנים, רח' בית הדפוס 12, ירושלים, במשרדי הוועדה המחוזית לתכנון ולבנייה מחוז הדרום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2cbd6e7e548146d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פינוי בינוי אשדוד – הרב מימון),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8329d2d5e874f24" /><Relationship Type="http://schemas.openxmlformats.org/officeDocument/2006/relationships/hyperlink" Target="https://www.nevo.co.il/laws/#/62e227ce2fa3042bfb7ed0e1/clause/62e228c42fa3042bfb7ed0fa" TargetMode="External" Id="R2cbd6e7e548146d5" /><Relationship Type="http://schemas.openxmlformats.org/officeDocument/2006/relationships/header" Target="/word/header1.xml" Id="r97" /><Relationship Type="http://schemas.openxmlformats.org/officeDocument/2006/relationships/footer" Target="/word/footer1.xml" Id="r98" /></Relationships>
</file>