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4cf3c91d65b4e9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רמת השרון, תל אביב – דרום גלילות),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הקניית סמכויות המועצה הארצית לפי תמ"א 35</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רמת השרון, תל אביב – דרום גלילות),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3(א)(4) ו-8(ב)(2) לחוק לקידום הבנייה במתחמים מועדפים (הוראת שעה), התשע"ד-2014 (להלן – החוק), ובהמלצת הצוות המייעץ כאמור בסעיף 3(ג) לחוק,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רמת השרון, תל אביב – דרום גלילות המתואר בצו זה (להלן – המתחם) מוכרז בזה מתחם מועדף לדיור.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r>
      <w:r>
        <w:rPr>
          <w:lang w:bidi="he-IL"/>
          <w:rFonts w:hint="cs" w:cs="FrankRuehl"/>
          <w:szCs w:val="26"/>
          <w:rtl/>
        </w:rPr>
        <w:tab/>
        <w:t xml:space="preserve">גודלו של המתחם הוא כ-1,750 דונם, מיקומו בתחום מחוז תל אביב; המתחם מצוי בתחום השיפוט של הערים רמת השרון ותל אביב, צפונית לשכונת רמת אביב ג', מזרחית לכביש מס' 2, מערבית למסילת הרכבת וכביש מס' 20, ודרומית לכביש מס' 5. 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תל אביב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הקניית סמכויות המועצה הארצית לפי תמ"א 35</w:t>
                </w:r>
              </w:p>
            </w:txbxContent>
          </v:textbox>
        </v:rect>
      </w:pict>
      <w:r>
        <w:rPr>
          <w:lang w:bidi="he-IL"/>
          <w:rFonts w:hint="cs" w:cs="FrankRuehl"/>
          <w:szCs w:val="34"/>
          <w:rtl/>
        </w:rPr>
        <w:t xml:space="preserve">3.</w:t>
      </w:r>
      <w:r>
        <w:rPr>
          <w:lang w:bidi="he-IL"/>
          <w:rFonts w:hint="cs" w:cs="FrankRuehl"/>
          <w:szCs w:val="26"/>
          <w:rtl/>
        </w:rPr>
        <w:tab/>
        <w:t xml:space="preserve">לגבי המתחם יהיו נתונות לוועדה למתחמים מועדפים סמכויות המועצה הארצית לתכנון ולבנייה לפי תמ"א 35.</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4.</w:t>
      </w:r>
      <w:r>
        <w:rPr>
          <w:lang w:bidi="he-IL"/>
          <w:rFonts w:hint="cs" w:cs="FrankRuehl"/>
          <w:szCs w:val="26"/>
          <w:rtl/>
        </w:rPr>
        <w:tab/>
        <w:t xml:space="preserve"/>
      </w:r>
      <w:hyperlink xmlns:r="http://schemas.openxmlformats.org/officeDocument/2006/relationships" w:history="true" r:id="Ra2a34e61a46e44a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זאב אלקין</w:t>
                </w:r>
              </w:p>
              <w:p>
                <w:pPr>
                  <w:bidi/>
                  <w:spacing w:before="45" w:after="3" w:line="250" w:lineRule="auto"/>
                  <w:jc w:val="center"/>
                </w:pPr>
                <w:defaultTabStop w:val="720"/>
                <w:r>
                  <w:rPr>
                    <w:lang w:bidi="he-IL"/>
                    <w:rFonts w:hint="cs" w:cs="FrankRuehl"/>
                    <w:szCs w:val="22"/>
                    <w:rtl/>
                  </w:rPr>
                  <w:t xml:space="preserve">שר הבינוי והשיכוןממלא מקום יושבת ראש ועדת שריםלענייני פנים, 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רמת השרון, תל אביב – דרום גלילות),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a0ef55541624f16" /><Relationship Type="http://schemas.openxmlformats.org/officeDocument/2006/relationships/hyperlink" Target="https://www.nevo.co.il/laws/#/62c7fcbbf7f5c27f26145dea/clause/62c7fdcaf7f5c27f26145e06" TargetMode="External" Id="Ra2a34e61a46e44a4" /><Relationship Type="http://schemas.openxmlformats.org/officeDocument/2006/relationships/header" Target="/word/header1.xml" Id="r97" /><Relationship Type="http://schemas.openxmlformats.org/officeDocument/2006/relationships/footer" Target="/word/footer1.xml" Id="r98" /></Relationships>
</file>