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18bf4cc2794f3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לשכת עורכי הדין (תפקידי השירות המשפטי), תשכ"ב-1962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תפקידים בשירות המשפטי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לשכת עורכי הדין (תפקידי השירות המשפטי), תשכ"ב-1962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29(5) לחוק לשכת עורכי הדין, תשכ"א-1961,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תפקידים בשירות המשפטי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אלה הם תפקידי השירות המשפטי לענין סעיף 29(א)(5)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בשירות המדינה 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יעוץ משפטי בכל משרד ממשלתי;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במשרד המשפטים – בעל תפקיד משפטי ביחידה מהיחידות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לשכת היועץ המשפטי לממשלה;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ייעוץ וחקיקה;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הלשכה המשפטית;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פרקליטות המדינה;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הסניגוריה הציבורית;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הסיוע המשפטי;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האפוטרופוס הכללי והכונס הרשמי;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(ח)</w:t>
      </w:r>
      <w:r>
        <w:rPr>
          <w:lang w:bidi="he-IL"/>
          <w:rFonts w:hint="cs" w:cs="FrankRuehl"/>
          <w:szCs w:val="26"/>
          <w:rtl/>
        </w:rPr>
        <w:tab/>
        <w:t xml:space="preserve">הרשות לרישום והסדר זכויות מקרקעין;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(ט)</w:t>
      </w:r>
      <w:r>
        <w:rPr>
          <w:lang w:bidi="he-IL"/>
          <w:rFonts w:hint="cs" w:cs="FrankRuehl"/>
          <w:szCs w:val="26"/>
          <w:rtl/>
        </w:rPr>
        <w:tab/>
        <w:t xml:space="preserve">הממונה כמשמעותו בתקנה 9 לתקנות שבחוק לתיקון ולהארכת תוקפן של תקנות שעת חירום (יהודה והשומרון – שיפוט בעבירות ועזרה משפטית), התשס"ז-2007;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(י)</w:t>
      </w:r>
      <w:r>
        <w:rPr>
          <w:lang w:bidi="he-IL"/>
          <w:rFonts w:hint="cs" w:cs="FrankRuehl"/>
          <w:szCs w:val="26"/>
          <w:rtl/>
        </w:rPr>
        <w:tab/>
        <w:t xml:space="preserve">רשות התאגידים;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(יא)</w:t>
      </w:r>
      <w:r>
        <w:rPr>
          <w:lang w:bidi="he-IL"/>
          <w:rFonts w:hint="cs" w:cs="FrankRuehl"/>
          <w:szCs w:val="26"/>
          <w:rtl/>
        </w:rPr>
        <w:tab/>
        <w:t xml:space="preserve">רשות הפטנטים;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(יב)</w:t>
      </w:r>
      <w:r>
        <w:rPr>
          <w:lang w:bidi="he-IL"/>
          <w:rFonts w:hint="cs" w:cs="FrankRuehl"/>
          <w:szCs w:val="26"/>
          <w:rtl/>
        </w:rPr>
        <w:tab/>
        <w:t xml:space="preserve">מחלקת החנינות;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(יג)</w:t>
      </w:r>
      <w:r>
        <w:rPr>
          <w:lang w:bidi="he-IL"/>
          <w:rFonts w:hint="cs" w:cs="FrankRuehl"/>
          <w:szCs w:val="26"/>
          <w:rtl/>
        </w:rPr>
        <w:tab/>
        <w:t xml:space="preserve">הרשות להגנת הפרטיות;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(יד)</w:t>
      </w:r>
      <w:r>
        <w:rPr>
          <w:lang w:bidi="he-IL"/>
          <w:rFonts w:hint="cs" w:cs="FrankRuehl"/>
          <w:szCs w:val="26"/>
          <w:rtl/>
        </w:rPr>
        <w:tab/>
        <w:t xml:space="preserve">נציבות תלונות הציבור על שופטים;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(טו)</w:t>
      </w:r>
      <w:r>
        <w:rPr>
          <w:lang w:bidi="he-IL"/>
          <w:rFonts w:hint="cs" w:cs="FrankRuehl"/>
          <w:szCs w:val="26"/>
          <w:rtl/>
        </w:rPr>
        <w:tab/>
        <w:t xml:space="preserve">בית הדין לעררים כמשמעותו בסעיף 13כג לחוק הכניסה לישראל, התשי"ב-1952;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(טז)</w:t>
      </w:r>
      <w:r>
        <w:rPr>
          <w:lang w:bidi="he-IL"/>
          <w:rFonts w:hint="cs" w:cs="FrankRuehl"/>
          <w:szCs w:val="26"/>
          <w:rtl/>
        </w:rPr>
        <w:tab/>
        <w:t xml:space="preserve">נציבות תלונות הציבור על מייצגי המדינה בערכאות;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(יז)</w:t>
      </w:r>
      <w:r>
        <w:rPr>
          <w:lang w:bidi="he-IL"/>
          <w:rFonts w:hint="cs" w:cs="FrankRuehl"/>
          <w:szCs w:val="26"/>
          <w:rtl/>
        </w:rPr>
        <w:tab/>
        <w:t xml:space="preserve">נציבות שוויון זכויות לאנשים עם מוגבלות;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(יח)</w:t>
      </w:r>
      <w:r>
        <w:rPr>
          <w:lang w:bidi="he-IL"/>
          <w:rFonts w:hint="cs" w:cs="FrankRuehl"/>
          <w:szCs w:val="26"/>
          <w:rtl/>
        </w:rPr>
        <w:tab/>
        <w:t xml:space="preserve">הרשות לאיסור הלבנת הון ומימון טרור;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(יט)</w:t>
      </w:r>
      <w:r>
        <w:rPr>
          <w:lang w:bidi="he-IL"/>
          <w:rFonts w:hint="cs" w:cs="FrankRuehl"/>
          <w:szCs w:val="26"/>
          <w:rtl/>
        </w:rPr>
        <w:tab/>
        <w:t xml:space="preserve">היחידה לתיאום המאבק בסחר בבני אדם;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(כ)</w:t>
      </w:r>
      <w:r>
        <w:rPr>
          <w:lang w:bidi="he-IL"/>
          <w:rFonts w:hint="cs" w:cs="FrankRuehl"/>
          <w:szCs w:val="26"/>
          <w:rtl/>
        </w:rPr>
        <w:tab/>
        <w:t xml:space="preserve">הממונה על נותני שירות עסקי;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(כא)</w:t>
      </w:r>
      <w:r>
        <w:rPr>
          <w:lang w:bidi="he-IL"/>
          <w:rFonts w:hint="cs" w:cs="FrankRuehl"/>
          <w:szCs w:val="26"/>
          <w:rtl/>
        </w:rPr>
        <w:tab/>
        <w:t xml:space="preserve">בתי הדין השרעיים;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(2א)</w:t>
      </w:r>
      <w:r>
        <w:rPr>
          <w:lang w:bidi="he-IL"/>
          <w:rFonts w:hint="cs" w:cs="FrankRuehl"/>
          <w:szCs w:val="26"/>
          <w:rtl/>
        </w:rPr>
        <w:tab/>
        <w:t xml:space="preserve">ייעוץ משפטי בלשכה המשפטית של הכנסת;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יעוץ משפטי במשרד מבקר המדינה;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רשמות בבית המשפט;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(4א)</w:t>
      </w:r>
      <w:r>
        <w:rPr>
          <w:lang w:bidi="he-IL"/>
          <w:rFonts w:hint="cs" w:cs="FrankRuehl"/>
          <w:szCs w:val="26"/>
          <w:rtl/>
        </w:rPr>
        <w:tab/>
        <w:t xml:space="preserve">רשמות בהוצאה לפועל.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פרקליטות, תביעה, סניגוריה, יעוץ, חקיקה והדרכה משפטית בצבא-הגנה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תביעה במשטרת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ממונה ראשי על יחסי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עורכי הדין המועסקים בנציבות תלונות הציבור.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ראש המחלקה המשפטית, ראש ענף קבילות וראש ענף פניות של נציבות קבילות חיילים.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(17)</w:t>
      </w:r>
      <w:r>
        <w:rPr>
          <w:lang w:bidi="he-IL"/>
          <w:rFonts w:hint="cs" w:cs="FrankRuehl"/>
          <w:szCs w:val="26"/>
          <w:rtl/>
        </w:rPr>
        <w:tab/>
        <w:t xml:space="preserve">היועץ המשפטי או בעל תפקיד משפטי אחר ברשות התחרות וכן הממונה על התחרות אם הוא חבר הלשכה כהגדרתה בסעיף 2 לחוק, בעל ותק של חמש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(18)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(19)</w:t>
      </w:r>
      <w:r>
        <w:rPr>
          <w:lang w:bidi="he-IL"/>
          <w:rFonts w:hint="cs" w:cs="FrankRuehl"/>
          <w:szCs w:val="26"/>
          <w:rtl/>
        </w:rPr>
        <w:tab/>
        <w:t xml:space="preserve">שפיטה בבית משפט צבאי שכונן לפי הוראות הצו בדבר הוראות ביטחון (יהודה והשומרון) (מס' 378), התש"ל-1970.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(20)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(21)</w:t>
      </w:r>
      <w:r>
        <w:rPr>
          <w:lang w:bidi="he-IL"/>
          <w:rFonts w:hint="cs" w:cs="FrankRuehl"/>
          <w:szCs w:val="26"/>
          <w:rtl/>
        </w:rPr>
        <w:tab/>
        <w:t xml:space="preserve">עובד משרד המשפטים המשמש כיושב ראש ועדת משנה כהגדרתה בסעיף 6(א) לחוק התכנון והבנייה, התשכ"ה-1965, שלה אצלה המועצה הארצית לתכנון ולבנייה (להלן – המועצה), את סמכויותיה לגבי הדיון וההחלטה בערר בפני המועצה לפי סעיף 6(א)(3) לחוק האמור, או עובד משרד המשפטים המשמש כיושב ראש ועדת משנה שנבחרה לפי סעיף 6(ג) לחוק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ברשויות מקומיות – הייעוץ המשפטי בכל עיריה.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בתאגידים שהוקמו בחוק – היועץ המשפטי או בעל תפקיד משפטי אחר בתאגיד מן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בנק ישראל כמשמעותו בחוק בנק ישראל, התשי"ד-1954;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הרשות השנייה לטלויזיה ורדיו כמשמעותה בחוק הרשות השניה לטלויזיה ורדיו, התש"ן-1990;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רשות ניירות ערך כמשמעותה בחוק ניירות ערך, התשכ"ח-1968;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רשות הנמלים והרכבות כמשמעותה בחוק רשות הנמלים והרכבות, התשכ"א-1961;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קרן לפיצוי נפגעי תאונות דרכים כמשמעותה בחוק פיצויים לנפגעי תאונות דרכים, התשל"ה-1975;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שירות התעסוקה כמשמעותו בחוק שירות התעסוקה, התשי"ט-1959.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רשות הדואר כמשמעותה בחוק רשות הדואר, התשמ"ו-1986.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המוסד לביטוח לאומי כמשמעותו בחוק הביטוח הלאומי [נוסח משולב], התשנ"ה-1995.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לשכת עורכי הדין (תפקידי השירות המשפטי), תשכ"ב-1962".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דב יוסף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לשכת עורכי הדין (תפקידי השירות המשפטי), תשכ"ב-1962,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b7e074032ae4c3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