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86221dce68406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קביעת הבחירות לכנסת (סדרי הצבעה והוראות בדבר הצבעה בנציגויות הדיפלומטיות והקונסולריות של ישראל) (הוראת שעה), תשפ"ג-2022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/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קביעת הבחירות לכנסת (סדרי הצבעה והוראות בדבר הצבעה בנציגויות הדיפלומטיות והקונסולריות של ישראל) (הוראת שעה), תשפ"ג-2022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(פקע)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עמית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שופט בית המשפט העליוןיושב ראש ועדת הבחירותהמרכזית לכנסת ה-25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קביעת הבחירות לכנסת (סדרי הצבעה והוראות בדבר הצבעה בנציגויות הדיפלומטיות והקונסולריות של ישראל) (הוראת שעה), תשפ"ג-2022, נוסח עדכני נכון ליום 05.11.2022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0930fd870ad4d53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