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dc382f8e71240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(הפחתה של סכום עיצום כספי ופריסת תשלומים),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פריסת תשלום עיצום כספי</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אוויר נקי (הפחתה של סכום עיצום כספי ופריסת תשלומים),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54(ב) ו-81 לחוק אוויר נקי, התשס"ח-2008 (להלן – החוק), בהסכמת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רואה חשבון" – אישור שנתן רואה חשבון מבקר,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כהגדרתה בפקודת מס הכנסה [נוסח חדש] (בתקנות אלה – 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תאגיד שאינו מלכ"ר – מחזור עסקאות של עוסק כהגדרתו בחוק מס ערך מוסף, התשל"ו-1975 (בתקנות אלה – חוק מע"מ);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מלכ"ר – כהגדרת מחזור בתוספת השנייה לחוק העמותות,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"מלכ"ר" – כהגדרתו בחוק מע"מ;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 – כמשמעותו בסעיף 50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הממונה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הפר הוראה מהוראות החוק או לפיו בחמש השנים שקדמו להפרה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המפר הפר הוראה מהוראות החוק או לפיו בחמש השנים שקדמו להפרה, ואולם בשנתיים שקדמו להפרה לא הפר את ההוראה שבשלה הוטל העיצום ולא הפר הוראה אחרת יותר מפעם אחת – 10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המפר הפסיק את ההפרה מיוזמתו ודיווח עליה לממונה – 30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המפר נקט פעולות למניעת הישנות ההפרה ולהקטנת הנזק, והכל להנחת דעתו של הממונה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המפר הוא יחיד והממונה שוכנע כי ההפרה נגרמה בשל נסיבות אישיות המצדיקות הפחתה של העיצום הכספי או שהתקיימו נסיבות אישיות קשות המצדיקות שלא למצות את הדין עם המפר – 15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התקיימו לגבי מפר כמה נסיבות כאמור בתקנת משנה (א), רשאי הממונה להפחית למפר מסכום העיצום הכספי את השיעורים המנויים לצד אותן נסיבות מצטבר, ובלבד ששיעור ההפחתה המצטבר לא יעלה על 50% מסכום העיצום הכספי הקבוע בשל אותה הפרה.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עסקאות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הממונה רשאי להפחית למפר שהוא אחד מן המפורטים להלן את סכום העיצום הכספי, כך שסכום העיצום הכספי יהיה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לתאגיד שאינו מלכ"ר, ואשר מחזור העסקאות שלו אינו עולה על 10 מיליון שקלים חדשים – 20 אחוזים ממחזור העסקאות השנתי של המפר;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למלכ"ר שמחזור העסקאות שלו אינו עולה על 10 מיליון שקלים חדשים – 10 אחוזים ממחזור העסקאות השנתי של המפר, ובלבד שהגיש לממונה, בתוך התקופה האמורה בסעיף 51 לחוק, תעודה מאת המנהל כהגדרתו בחוק מע"מ, המעידה על רישומו כמלכ"ר לפי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לאדם אחר – 10 אחוזים מההכנסה בשנת הכספים שקדמה למועד מסירת ההודעה על הכוונה להטיל עליו עיצום 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בין אם הופחת סכום העיצום הכספי לפי תקנה 2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המבקש הפחתה של סכום עיצום כספי לפי הוראות תקנה זו, יגיש לממונה אישור רואה חשבון, לעניין גובה מחזור העסקאות או ההכנסה של המפר, לפי העניין, בתוך 30 ימים ממועד מסירת ההודעה על הכוונה להטיל עליו עיצום כספי.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פריסת תשלום עיצום כספי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הממונה רשאי להורות על פריסת תשלום עיצום כספי, לפי בקשתו של מפר, שצורף לה אישור של רואה חשבון המעיד על כך שאין ביכולתו, לפי תזרים המזומנים הצפוי, לשאת את התשלום האמור, בין אם החליט הממונה על הפחתת סכום העיצום הכספי לפי תקנות אלה,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הממונה כאמור בתקנת משנה (א), לא יעלה מספר התשלומים על עשרה תשלומים חודשיים; לא שילם המפר תשלום חודשי במועדו, ישלם את העיצום הכספי כולו בפירעון מיידי; על יתרת התשלום כאמור יחולו הוראות סעיף 58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(הפחתה של סכום עיצום כספי ופריסת תשלומים),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00fe3bea4444e4" /><Relationship Type="http://schemas.openxmlformats.org/officeDocument/2006/relationships/header" Target="/word/header1.xml" Id="r97" /><Relationship Type="http://schemas.openxmlformats.org/officeDocument/2006/relationships/footer" Target="/word/footer1.xml" Id="r98" /></Relationships>
</file>