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5bf1c8604f4e3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(דרכים ומועדים להעברת דיווח של סוחרים באבנים יקרות למאגר המידע),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הדיווח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 הדיווח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הדיווח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הדיווח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ראש הרשות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(דרכים ומועדים להעברת דיווח של סוחרים באבנים יקרות למאגר המידע),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8א(ה), 32(א)(1) ו-32(ג) לחוק איסור הלבנת הון, התש"ס-2000 (להלן – החוק), בהתייעצות עם השר לביטחון הפנים ועם שר הכלכלה והתעשייה,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 כמשמעותו בסעיף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 דיווח לרשות המוסמכת לפי סעיף 8א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משלים" – דיווח שראש הרשות המוסמכת דרש מסוחר באבנים יקרות לפי סעיף 31(ג)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לאיסור הלבנת הון ומימון טרור שהוקמה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כהגדרתו בסעיף 12 לחוק, למעט כמפורט בפסקה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בלתי רגילה" – עסקה באבנים יקרות שעליה חייב סוחר באבנים יקרות לדווח לרשות המוסמכת לפי סעיף 11 לצו איסור הלבנת הון (חובות זיהוי, דיווח וניהול רישומים של סוחר באבנים יקרות למניעת הלבנת הון ומימון טרור), התשע"ד-2014;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הרשות" – ראש הרשות המוסמכת.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הדיווח</w:t>
                </w:r>
              </w:p>
            </w:txbxContent>
          </v:textbox>
        </v:rect>
      </w:pict>
      <w:r>
        <w:rPr>
          <w:lang w:bidi="he-IL"/>
          <w:rFonts w:hint="cs" w:cs="FrankRuehl"/>
          <w:szCs w:val="34"/>
          <w:rtl/>
        </w:rPr>
        <w:t xml:space="preserve">2.</w:t>
      </w:r>
      <w:r>
        <w:rPr>
          <w:lang w:bidi="he-IL"/>
          <w:rFonts w:hint="cs" w:cs="FrankRuehl"/>
          <w:szCs w:val="26"/>
          <w:rtl/>
        </w:rPr>
        <w:tab/>
        <w:t xml:space="preserve">דיווח של סוחר באבנים יקרות לרשות המוסמכת ייעשה בדרך מן הדרכים המפורטות להלן או בשילוב של דרכים אלה,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גבי מצע אופטי (תקליטור CD-ROM) או מצע מגנטי (סרט או תקליטון);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במסמך מודפס.</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 הדיווח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סוחר באבנים יקרות ימסור דיווח,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דיווח על פעולה בלתי רגילה ייערך בנפרד, במבנה HTML (Hyper Text Markup Language) קבוע מראש; הדיווח יכלול את פירוט סיבת הדיווח, לרבות תיאור הפעולה שבשלה דווח, על נסיבותיה, והגורמים הקשורים לסיבת הדיווח, אם הם ידועים לגוף המדווח; לדיווח יצורפו מסמכים הנוגעים לדיווח;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דיווח משלים יימסר לפי דרישת ראש הרשות מן האחראי; הדיווח ייערך כפי שיורה ראש הרשות בכל דרישה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לפי תקנת משנה (א) יהיה חתום ביד האחראי; הועבר הדיווח בקובץ ממוחשב, יישא הדיווח קוד מיוחד לזיהוי הסוחר באבנים יקרות.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הדיווח</w:t>
                </w:r>
              </w:p>
            </w:txbxContent>
          </v:textbox>
        </v:rect>
      </w:pict>
      <w:r>
        <w:rPr>
          <w:lang w:bidi="he-IL"/>
          <w:rFonts w:hint="cs" w:cs="FrankRuehl"/>
          <w:szCs w:val="34"/>
          <w:rtl/>
        </w:rPr>
        <w:t xml:space="preserve">4.</w:t>
      </w:r>
      <w:r>
        <w:rPr>
          <w:lang w:bidi="he-IL"/>
          <w:rFonts w:hint="cs" w:cs="FrankRuehl"/>
          <w:szCs w:val="26"/>
          <w:rtl/>
        </w:rPr>
        <w:tab/>
        <w:t xml:space="preserve">מועדי הדיווח יהיו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דיווח על פעולה בלתי רגילה יועבר לרשות המוסמכת סמוך, ככל האפשר בנסיבות העניין, לאחר עשיית הפעולה או רישומה,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דיווח משלים יועבר לרשות המוסמכת ככל האפשר בנסיבות העניין, לאחר המועד שהאחראי קיבל את דרישת ראש הרשות.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הדיווח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סוחר באבנים יקרות יגיש את הדיווח למען הרשות המוסמכת; לעניין זה, "מען" – לרבות המען לתקשורת מחשבים של הרשות המוסמכת כפי שיפרסם ראש הרשות בהוראותיו לפי 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תאשר, לבקשת סוחר באבנים יקרות, קבלה של דיווח, שלא נעשה באמצעות תקשורת מחשבים, שנמסר במענה.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ראש הרשות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ראש הרשות, לאחר התייעצות עם הממונה, יפרסם ברשומות הוראות בדבר מתכונת הדיווח התואמת למאגר המידע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שינוי ההוראות כאמור בתקנת משנה (א), תפורסם ברשומות ובאתר האינטרנט של הרשות, זמן סביר לפני תחילת השינוי ולא פחול מ-60 ימים מיום כניסתו לתוקף של השינוי.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(דרכים ומועדים להעברת דיווח של סוחרים באבנים יקרות למאגר המידע),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5c79c1eb6fb4703" /><Relationship Type="http://schemas.openxmlformats.org/officeDocument/2006/relationships/header" Target="/word/header1.xml" Id="r97" /><Relationship Type="http://schemas.openxmlformats.org/officeDocument/2006/relationships/footer" Target="/word/footer1.xml" Id="r98" /></Relationships>
</file>