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c6f268395f94b5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איסור הלבנת הון (דרכים ומועדים להעברת דיווח של תאגידים בנקאיים והגופים המפורטים בתוספת השלישית לחוק, למאגר המידע), תשס"ב-2002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הדיווח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מבנה הדיווח</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הדיווח</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הגשת הדיווח</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דרכי הדיווח, מבנהו, מועדיו והוראות ראש הרשות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אמות מידה לקביעת דרכי דיווח ומועדיו</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איסור הלבנת הון (דרכים ומועדים להעברת דיווח של תאגידים בנקאיים והגופים המפורטים בתוספת השלישית לחוק, למאגר המידע), תשס"ב-2002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7(ה) ו-32(א) לחוק איסור הלבנת הון, התש"ס-2000 (להלן – החוק), לאחר התייעצות עם השר לביטחון הפנים, עם נגיד בנק ישראל לענין תאגיד בנקאי, ועם השרים שבאחריותם גוף מהגופים המפורטים בתוספת השלישית, לענין גופים אלה,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 כמשמעותו בסעיף 8 לחוק, או מי שהוא הסמיכו לכך, והודעה על הסמכתו נמסרה לראש הרשות;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מדווח" – תאגיד בנקאי וגוף מהגופים המפורטים בתוספת השלישית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"דיווח" – דיווח לרשות המוסמכת לפי סעיף 7(א) ו-(ב)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"דיווח משלים" – דיווח כאמור בסעיף 31(ג)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המוסמכת" – הרשות לאיסור הלבנת הון שהוקמה לפי סעיף 29(א)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 מידע" – מאגר המידע שהוקם לפי סעיף 28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 כהגדרתו בסעיף 12 לחוק, למעט הגוף המפורט בפסקה (3) להגדרה;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"מסמך מודפס" – מסמך מודפס על גבי נייר;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רגילה" – כל אחד מן הפעולות או המקרים שהגופים המדווחים חייבים בדיווח עליהם בהתאם לצווים לפי סעיף 7 לחוק (להלן – צווי הדיווח), למעט פעולה בלתי רגילה;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בלתי רגילה" – כמשמעותה, לגבי כל גוף מדווח, בצווי הדיווח;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"ראש הרשות" – ראש הרשות המוסמכת.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הדיווח</w:t>
                </w:r>
              </w:p>
            </w:txbxContent>
          </v:textbox>
        </v:rect>
      </w:pict>
      <w:r>
        <w:rPr>
          <w:lang w:bidi="he-IL"/>
          <w:rFonts w:hint="cs" w:cs="FrankRuehl"/>
          <w:szCs w:val="34"/>
          <w:rtl/>
        </w:rPr>
        <w:t xml:space="preserve">2.</w:t>
      </w:r>
      <w:r>
        <w:rPr>
          <w:lang w:bidi="he-IL"/>
          <w:rFonts w:hint="cs" w:cs="FrankRuehl"/>
          <w:szCs w:val="26"/>
          <w:rtl/>
        </w:rPr>
        <w:tab/>
        <w:t xml:space="preserve">דיווח של גוף מדווח לרשות המוסמכת ייעשה בדרך מן הדרכים המפורטות להלן או בשילוב של דרכים אלה, כולן או מקצתן, הכל כפי שיורה ראש הרשות לגבי הגוף המדווח: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בתקשורת מחשבים;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גבי מצע אופטי (תקליטור – CD-ROM) או מצע מגנטי (סרט או תקליטון);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במסמך מודפס.</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מבנה הדיווח</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ראש הרשות יורה לגוף מדווח את השיטות, מבנה הקבצים, הטכנולוגיות וסוגי הנתונים שעל פיהם ייעשה הדיווח,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דיווח על פעולה רגילה ייערך בקובץ נתונים במבנה קבוע מראש המכיל את כותרות הקובץ, נתוני בקרה וכן רשומות המיוצגות בתווים לפי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תקן "אסקי" – ASCII (American Standard Code for Information Interchange);</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קובץ שנוצר בטכנולוגיה להעברת נתונים ורשומות בין יישומים שונים XML (Extensible Markup Language);</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דיווח על פעולה בלתי רגילה ייערך בנפרד, במבנה HTML (Hyper Text Markup Language) קבוע מראש או, בהסכמת ראש הרשות, שניתנה מראש ובכתב, במבנה מסוג אחר; לדיווח יצורפו מסמכים לפי הענין; הדיווח יכלול פירוט סיבת הדיווח, לרבות תיאור הפעולה שבשלה דווח, על נסיבותיה, ובתוך כך הגורמים הקשורים לסיבת הדיווח, אם הם ידועים לגוף המדווח;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דיווח משלים יימסר לפי דרישת ראש הרשות מן האחראי; הדיווח ייערך כפי שיורה ראש הרשות בכל דרישה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דיווח לפי תקנת משנה (א) יהיה חתום בידי האחראי; הועבר בקובץ ממוחשב, יישא הדיווח קוד מיוחד לזיהוי הגוף המדווח, שיימסר לו מראש בידי ראש הרשות.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הדיווח</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מועדי הדיווח ייקבעו בידי ראש הרשות לפי אלה:</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(1)</w:t>
        <w:tab/>
      </w:r>
      <w:r>
        <w:rPr>
          <w:lang w:bidi="he-IL"/>
          <w:rFonts w:hint="cs" w:cs="FrankRuehl"/>
          <w:szCs w:val="26"/>
          <w:rtl/>
        </w:rPr>
        <w:t xml:space="preserve">(א)</w:t>
      </w:r>
      <w:r>
        <w:rPr>
          <w:lang w:bidi="he-IL"/>
          <w:rFonts w:hint="cs" w:cs="FrankRuehl"/>
          <w:szCs w:val="26"/>
          <w:rtl/>
        </w:rPr>
        <w:tab/>
        <w:t xml:space="preserve">דיווח על פעולות רגילות יועבר לרשות המוסמכת לגבי תקופה שיורה ראש הרשות (להלן – תקופת הדיווח) ושלא תפחת מיום עבודה אחד, לגבי תאגידים בנקאיים, ומחודש אחד, לגבי שאר הגופים המנויים בתוספת השלישית;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הדיווח יכלול פעולות שנרשמו במאגר הממוחשב של הגוף המדווח או בדרך אחרת במשך תקופת הדיווח;</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לגבי תאגידים בנקאיים – הדיווח יועבר לרשות המוסמכת לכל המאוחר בתוך שני ימי עבודה נוספים שלאחר תום תקופת הדיווח; לגבי שאר הגופים המנויים בתוספת השלישית – הדיווח יועבר לרשות המוסמכת ב-17 בחודש שלאחר תקופת הדיווח, או ביום העבודה שלאחריו או בכל יום אחר אשר ייקבע על ידי ראש הרשות לכל סוג של גוף מדווח;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דיווח על פעולה בלתי רגילה יועבר לרשות המוסמכת סמוך, ככל האפשר בנסיבות הענין, לאחר עשיית הפעולה או רישומה,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דיווח משלים יועבר לרשות המוסמכת סמוך, ככל האפשר בנסיבות הענין, לאחר המועד שהאחראי קיבל את דרישת ראש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בתקנה זו, "יום עבודה" – לגבי תאגיד בנקאי: יום עסקים בנקאי כמשמעותו בסעיף 1 להוראות הבנקאות (שירות ללקוח) (מועד זיכוי וחיוב בשקים), התשנ"ב-1992.</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הגשת הדיווח</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גוף מדווח יגיש את הדיווח למען הרשות המוסמכת; לענין תקנות אלה, "מען" – לרבות המען לתקשורת מחשבים של הרשות או מען אלקטרוני אחר כפי שיורה ראש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המוסמכת תאשר, אם נתבקשה על ידי המדווח, קבלה של דיווח, שלא נעשה באמצעות תקשורת מחשבים, שנמסר במענה.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דרכי הדיווח, מבנהו, מועדיו והוראות ראש הרשות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ראש הרשות, לאחר התייעצות עם הממונה, רשאי להורות על דרכי הדיווח, מבנהו, מועדיו ומקום הגשתו, בין לכל גוף מדווח בנפרד ובין לסוגים של גופים מדווחים.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ראש הרשות יפרסם, בהודעה ברשומות, לכל סוג של גוף מדווח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דרכי הדיווח, כאמור בתקנה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מבנה הדיווח, כאמור בתקנה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מועדי הדיווח, כאמור בתקנה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המען להגשת הדיווח, כאמור בתקנה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ראש הרשות רשאי, מטעמים מיוחדים שיירשמו, למסור הודעה בכתב לגוף מדווח מסוים על הוראה לגבי הנושאים המפורטים בתקנת משנה (ב); בהשתמשו בסמכות זו ייתן ראש הרשות הוראות זהות לגבי גופים זהים; הוראות לפי תקנת משנה זו יהיו פתוחות לעיון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הודעה על שינוי הוראות באחד או יותר מהנושאים המפורטים בתקנות משנה (ב) ו-﻿(ג), תפורסם ברשומות או תישלח לגוף המדווח, לפי הענין, בהתחשב בסוג השינוי, זמן סביר לפני תחילת השינוי ולא פחות מ-60 ימים מיום כניסתו לתוקף של השינוי.</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אמות מידה לקביעת דרכי דיווח ומועדיו</w:t>
                </w:r>
              </w:p>
            </w:txbxContent>
          </v:textbox>
        </v:rect>
      </w:pict>
      <w:r>
        <w:rPr>
          <w:lang w:bidi="he-IL"/>
          <w:rFonts w:hint="cs" w:cs="FrankRuehl"/>
          <w:szCs w:val="34"/>
          <w:rtl/>
        </w:rPr>
        <w:t xml:space="preserve">7.</w:t>
      </w:r>
      <w:r>
        <w:rPr>
          <w:lang w:bidi="he-IL"/>
          <w:rFonts w:hint="cs" w:cs="FrankRuehl"/>
          <w:szCs w:val="26"/>
          <w:rtl/>
        </w:rPr>
        <w:tab/>
        <w:t xml:space="preserve">בבואו לקבוע לגוף מדווח את דרכי הדיווח, מבנהו ומועדיו וכן מקום הגשת הדיווח, או שינוי של אחד מאלה, יתחשב ראש הרשות המוסמכת באלה: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סוג פעילותו העסקית של הגוף המדווח ויכולתו לעמוד בדרישות של ראש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נתוני היסוד הטכניים של מערכות המחשוב והתקשורת של מאגר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נתוני היסוד הטכניים של מערכות המחשוב והתקשורת של הגוף המדווח.</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מאיר שטרית</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איסור הלבנת הון (דרכים ומועדים להעברת דיווח של תאגידים בנקאיים והגופים המפורטים בתוספת השלישית לחוק, למאגר המידע), תשס"ב-2002,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a1980ddc3ac43f3" /><Relationship Type="http://schemas.openxmlformats.org/officeDocument/2006/relationships/header" Target="/word/header1.xml" Id="r97" /><Relationship Type="http://schemas.openxmlformats.org/officeDocument/2006/relationships/footer" Target="/word/footer1.xml" Id="r98" /></Relationships>
</file>