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5bd3dec68b428c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איסור הלבנת הון (כללים לבקשת מידע והעברתו מן הרשות המוסמכת לחוקר ניירות ערך),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בקשה לקבלת מידע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בקשה לקבלת פרטים נוספים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העברת מידע מהרשות המוסמכת למבקש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דחיית בקשה לקבלת מידע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ערר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דרכי העברת מידע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סודיות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איסור הלבנת הון (כללים לבקשת מידע והעברתו מן הרשות המוסמכת לחוקר ניירות ערך),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30(ב3)(2) ו-32(א) ו-(ג) לחוק איסור הלבנת הון, התש"ס-2000 (להלן – החוק), בהסכמת שר האוצר, בהתייעצות עם השר לביטחון הפנים ובאישור ועדת החוקה חוק ומשפט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"בקשת מידע" – בקשה של חוקר ניירות ערך לקבלת מידע מן הרשות המוסמכת כאמור בסעיף 30(ב3) 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"הרשות המוסמכת" – הרשות המוסמכת לפי סעיף 29(א) 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"חוקר ניירות ערך" – כהגדרתו בסעיף 30(י) 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"מאגר מידע" – מאגר המידע שהוקם לפי סעיף 28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"מבקש" – מנהל מחלקת חקירות, או סגנו שהגיש בקשת מידע;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"מידע" – כל נתון שהתקבל במאגר המידע לפי הוראות החוק, וכן כל עיבוד שלו;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"מנהל מחלקת חקירות" – מנהל מחלקת חקירות, מודיעין, בקרת מסחר ברשות ניירות ערך;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"מען" – שם הרחוב, מספר הבית, שם היישוב ומיקוד, ואם המען אינו בישראל – גם שם המדינה;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"פרטי זיהוי" – מספר זהות; לגבי אזרח חוץ שלפי דיני מדינת אזרחותו והמדינה שבה הוא תושב אין תעודת זהות – מספר זיהוי רשמי וסדרתי אחר הנהוג במדינתו וכן מספר דרכון תקף ושם מדינה שהנפיקה אותו.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בקשה לקבלת מידע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בקשת מידע תהיה בכתב ויפורטו בה כל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שם האדם שלגביו מבקשים את המידע, פרטי זיהויו ומענו, מספר חשבון בציון המקום שבו נוהל, אם פרטים אלה ידועים למבקש, או כל פרט אחר שבנוגע אליו מתבקש המידע;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פרק הזמן שלגביו מתבקש המידע;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תיאור הנסיבות והנימוקים המצדיקים, לדעת המבקש, את העברת המידע מן הרשות המוסמכת למבקש, לצורך ביצוע תפקידיו לפי החוק;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סיווג הסודיות של הפרטים הכלולים בבקשה;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מידת הדחיפות שבה נדרשת העברת המידע מן הרשות המוסמכת למבקש.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בבקשת מידע ובנימוקיה יכול שייכללו פרטים בדבר מידע המצוי בידי חוקר ניירות ערך.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בקשת מידע תועבר לרשות המוסמכת לאחר אישורה בידי מנהל מחלקת חקירות.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בקשה לקבלת פרטים נוספים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ראש הרשות המוסמכת רשאי לבקש פרטים נוספים מן המבקש, ככל הנדרש, לדעתו, לצורך טיפול בבקשה; בפנייתו יפרט ראש הרשות המוסמכת את טיב הפרטים הנוספים המבוקשים מהמבקש וינמק את הצורך בפרטים אלה.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לא העביר המבקש את הפרטים הנוספים המבוקשים, כולם או חלקם, יחליט ראש הרשות המוסמכת בבקשה על בסיס הנתונים שנמסרו.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העברת מידע מהרשות המוסמכת למבקש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החליט ראש הרשות המוסמכת להעביר מידע למבקש, יעבירו למבקש בהקדם האפשרי בנסיבות העניין, ומתוך התחשבות במידת הדחיפות שצוינה בבקשת המידע.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דחיית בקשה לקבלת מידע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החלטת ראש הרשות המוסמכת לדחות את בקשת המידע, כולה או חלקה, תהיה בכתב ומנומקת, ולאחר שניתנה למבקש הזדמנות לטעון את טענותיו לפניו; ראש הרשות המוסמכת ייתן את החלטתו בהקדם האפשרי בנסיבות העניין, ומתוך התחשבות במידת הדחיפות שצוינה בבקשה.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החלטת ראש הרשות המוסמכת לדחות את הבקשה תועבר למבקש מייד לאחר קבלתה.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ערר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המבקש רשאי להגיש ליועץ המשפטי לממשלה ערר על החלטת ראש הרשות המוסמכת לפי תקנה 5; הערר יוגש בכתב ויצורפו אליו כל המסמכים והמידע שהובאו לפני ראש הרשות המוסמכת.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עותק מן הערר כאמור בתקנת משנה (א) יועבר אל ראש הרשות המוסמכת, והוא יעביר את התייחסותו ליועץ המשפטי לממשלה בהקדם האפשרי, בהתחשבות במידת הדחיפות שצוינה בבקשה, ולא יאוחר מ-14 ימים מהיום שבו נמסר לראש הרשות המוסמכת עותק של הערר.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דרכי העברת מידע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התקשורת לפי תקנות אלה בין המבקש לבין הרשות המוסמכת תיעשה, באחת או יותר מן הדרכים המפורטות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בתקשורת ברשת פרטית (VPN – Virtual Private Network) לאחר שהמידע הוצפן והוספה אפשרות לפתוח את הקובץ רק על ידי סיסמה מאובטחת;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במדיה מגנטית – לרבות תקליטורים, התקן זיכרון נייד או כל אמצעי נתיק אחר לאחר שהמידע הוצפן והוספה אפשרות לפתוח את הקובץ רק על ידי סיסמה מאובטחת;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באמצעות שימוש ביישום מאובטח להעברה ושיתוף של מידע, דוגמת כספת וירטואלית;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באמצעות שימוש בטכנולוגיית העברת קבצים מנוהלת (MFT);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בהעדר אפשרות לעשות שימוש בדרכים המפורטות בפסקאות (1) עד (4) – על גבי מסמכי נייר.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סודיות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חוקר ניירות ערך שהמידע מהרשות המוסמכת הגיע אליו, ישמור את המידע באופן שתימנע גישה אליו מכל תקשורת חיצונית, וכן תימנע גישה מגורמים שאינם מורשים לעיין ולטפל בו.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30 ימים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גדעון סער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איסור הלבנת הון (כללים לבקשת מידע והעברתו מן הרשות המוסמכת לחוקר ניירות ערך), תשפ"ב-2022,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07ecb4da591445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