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b277ebbd60a4c6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(כללים לשימוש במידע שהועבר למחלקה לחקירת שוטרים לשם חקירת עבירות נוספות ולהעברתו לרשות אחרת),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גורם מוסמך</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במידע והעברתו לצורך המטרות הנוספות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לצורך המטרות העיקריות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החלטות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מגבלה על העברת מידע ושימוש במידע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העבירות הנוספות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א':רשויות שניתן להעביר אליהן מידע לפי תקנה 3 לצורך המטרות הנוספות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ב':רשויות שניתן להעביר אליהן מידע לפי תקנה 4 לצורך המטרות העיקריות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(כללים לשימוש במידע שהועבר למחלקה לחקירת שוטרים לשם חקירת עבירות נוספות ולהעברתו לרשות אחרת),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30(ז) ו-(ט) ו-32(א) ו-(ג) לחוק איסור הלבנת הון, התש"ס-2000 (להלן – החוק), בהתייעצות עם השר לביטחון הפנים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מוסמך" – ראש מפלג המודיעין במחלקה לחקירת שוטרים או ראש אגף חקירות ומודיעין או היועץ המשפטי של אגף חקירות ומודיעין;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"המשטרה" – משטרת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לאיסור הלבנת הון ומימון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"השב"כ" – שירות הביטחון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במלמ"ב" – יחידה באגף הממונה על הביטחון במערכת הביטחון, שקבע שר הביטחון בצו לפי סעיף 30(ג1)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מאגר המידע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"מחלקה לחקירת שוטרים" – המחלקה לחקירת שוטרים במשרד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"מטרה נוספת" – כל אחת מהמטרות המפורטות בתקנה 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"מטרה עיקרית" – כל אחת מהמטרות המפורטות בתקנה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כל נתון שהתקבל במאגר המידע לפי הוראות החוק, וכן כל עיבוד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"עבירה נוספת" – כל אחת מהעבירות המפורטות בתקנה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"עבירת מקור" – כמשמעותה בסעיף 2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גורם מוסמך</w:t>
                </w:r>
              </w:p>
            </w:txbxContent>
          </v:textbox>
        </v:rect>
      </w:pict>
      <w:r>
        <w:rPr>
          <w:lang w:bidi="he-IL"/>
          <w:rFonts w:hint="cs" w:cs="FrankRuehl"/>
          <w:szCs w:val="34"/>
          <w:rtl/>
        </w:rPr>
        <w:t xml:space="preserve">2.</w:t>
      </w:r>
      <w:r>
        <w:rPr>
          <w:lang w:bidi="he-IL"/>
          <w:rFonts w:hint="cs" w:cs="FrankRuehl"/>
          <w:szCs w:val="26"/>
          <w:rtl/>
        </w:rPr>
        <w:tab/>
        <w:t xml:space="preserve">גורם מוסמך רשאי להחליט, במקרה מסוים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שימוש במידע שהתקבל מהרשות לפי סעיף 30(ב2) או (ה)(1) לחוק, לשם חקירת עבירות נוספות ומניעתן או לשם גילוי עבריינים בעבירות הנוספות והעמדתם לדין או לשם מניעה וחקירה של פעילות של ארגוני טרור או של פגיעה בביטחון המדינה כמפורט בתקנה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העברת מידע לגורם מחוץ למחלקה לחקירת שוטרים לפי סעיף 30(ח) לחוק וכמפורט בתקנות 3 ו-4, לפי העניין.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במידע והעברתו לצורך המטרות הנוספות</w:t>
                </w:r>
              </w:p>
            </w:txbxContent>
          </v:textbox>
        </v:rect>
      </w:pict>
      <w:r>
        <w:rPr>
          <w:lang w:bidi="he-IL"/>
          <w:rFonts w:hint="cs" w:cs="FrankRuehl"/>
          <w:szCs w:val="34"/>
          <w:rtl/>
        </w:rPr>
        <w:t xml:space="preserve">3.</w:t>
      </w:r>
      <w:r>
        <w:rPr>
          <w:lang w:bidi="he-IL"/>
          <w:rFonts w:hint="cs" w:cs="FrankRuehl"/>
          <w:szCs w:val="26"/>
          <w:rtl/>
        </w:rPr>
        <w:tab/>
        <w:t xml:space="preserve">מצא גורם מוסמך כי יש יסוד סביר להניח שבמידע שהתקבל מהרשות לפי סעיף 30(ב2) ו-(ה)(1) לחוק, יש כדי לקדם באופן ממשי, במקרה מסוים, את השגת המטרות הנוספות, רשאי הוא להתיר את השימוש במידע למטרות אלה, לרבות העברתו לשם כך, אם מצא שיש בכך צורך, לגורם מחוץ למחלקה לחקירת שוטרים הקבוע בחלק א' של התוספת הראשונה, המוסמך לבצע את החקירה בעניין אותה עבירה.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לצורך המטרות העיקריות</w:t>
                </w:r>
              </w:p>
            </w:txbxContent>
          </v:textbox>
        </v:rect>
      </w:pict>
      <w:r>
        <w:rPr>
          <w:lang w:bidi="he-IL"/>
          <w:rFonts w:hint="cs" w:cs="FrankRuehl"/>
          <w:szCs w:val="34"/>
          <w:rtl/>
        </w:rPr>
        <w:t xml:space="preserve">4.</w:t>
      </w:r>
      <w:r>
        <w:rPr>
          <w:lang w:bidi="he-IL"/>
          <w:rFonts w:hint="cs" w:cs="FrankRuehl"/>
          <w:szCs w:val="26"/>
          <w:rtl/>
        </w:rPr>
        <w:tab/>
        <w:t xml:space="preserve">מצא גורם מוסמך כי לשם ביצועו של החוק או של חוק המאבק בטרור, פקודת המסחר עם האויב, חוק למניעת הפצה ומימון של נשק להשמדה המונית וסימן א' בפרק ב' לחוק המאבק בתוכנית הגרעין של איראן, לשם הגנה על ביטחון המדינה או לשם המלחמה בארגוני טרור, בארגוני טרור מוכרזים ובמעשי טרור, יש להעביר מידע שהתקבל לפי החוק מהרשות, לגורם בישראל מחוץ למחלקה לחקירת שוטרים, המוסמך לפעול למטרות האמורות, כקבוע בחלק ב' של התוספת הראשונה, רשאי הוא להחליט על העברת המידע כאמור.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החלטות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הגורם המוסמך יתעד את החלטותיו כאמור בתקנות 3 ו-4 לפי הטפסים שבתוספת השנייה או השלישית,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המוסמך ינהל רישום מרוכז של החלטות כאמור בתקנת משנה (א), ובו יצוינו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 מתן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העבירה הנוספת שלשם חקירתה או מניעתה נעשה שימוש במידע לפי תקנה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תמצית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היחידה או הגוף שאליו הועבר המידע לפי סעיף 30(ח) לחוק, אם הועבר, והחוק שלשם ביצועו הועבר המידע.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מגבלה על העברת מידע ושימוש במידע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יועבר מידע שהועבר ממאגר המידע למחלקה לחקירת שוטרים לגורם בישראל מחוץ למחלקה לחקירות שוטרים ולא ייעשה במידע שהועבר ממאגר המידע למחלקה לחקירת שוטרים שימוש למטרות הנוספות, אלא לפי תקנות אלה או אם נקבע אחרת בהוראת חוק מפורשת.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בתקנת משנה (א) כדי למנוע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מהמחלקה לחקירת שוטרים למסור מידע לצורך קבלת חוות דעת של מומחה, אם הדבר דרוש לצורך החקירה, או לשתף רשות הממונה על חקירת עבירת המקור, בחקירת עבירה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מהמחלקה לחקירת שוטרים או מגורם שהועבר לו מידע לפי תקנה 3 או 4, להעביר מידע לגורם המוסמך לצורך העמדה לדין וניהול הליך משפטי.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העבירות הנוספות</w:t>
                </w:r>
              </w:p>
            </w:txbxContent>
          </v:textbox>
        </v:rect>
      </w:pict>
      <w:r>
        <w:rPr>
          <w:lang w:bidi="he-IL"/>
          <w:rFonts w:hint="cs" w:cs="FrankRuehl"/>
          <w:szCs w:val="34"/>
          <w:rtl/>
        </w:rPr>
        <w:t xml:space="preserve">7.</w:t>
      </w:r>
      <w:r>
        <w:rPr>
          <w:lang w:bidi="he-IL"/>
          <w:rFonts w:hint="cs" w:cs="FrankRuehl"/>
          <w:szCs w:val="26"/>
          <w:rtl/>
        </w:rPr>
        <w:tab/>
        <w:t xml:space="preserve">העבירות הנוספות הן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עבירה שהעונש הקבוע לה הוא חמש שנות מאסר לפחות לפי כל אחד מהחוקים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חוק מאבק בארגוני פשיעה, התשס"ג-2003;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פקודת הסמים המסוכנים;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תקנות ההגנה (שעת חירום), 1945;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חוק למניעת הסתננות (עבירות ושיפוט), התשי"ד-1954;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חוק השיפוט הצבאי,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חוק ניירות ערך;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פקודת מס הכנסה;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חוק מיסוי מקרקעין (שבח ורכישה), התשכ"ג-1963;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w:t>
      </w:r>
      <w:r>
        <w:rPr>
          <w:lang w:bidi="he-IL"/>
          <w:rFonts w:hint="cs" w:cs="FrankRuehl"/>
          <w:szCs w:val="26"/>
          <w:rtl/>
        </w:rPr>
        <w:tab/>
        <w:t xml:space="preserve">חוק מס ערך מוסף;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(יא)</w:t>
      </w:r>
      <w:r>
        <w:rPr>
          <w:lang w:bidi="he-IL"/>
          <w:rFonts w:hint="cs" w:cs="FrankRuehl"/>
          <w:szCs w:val="26"/>
          <w:rtl/>
        </w:rPr>
        <w:tab/>
        <w:t xml:space="preserve">פקודת המכס;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(יב)</w:t>
      </w:r>
      <w:r>
        <w:rPr>
          <w:lang w:bidi="he-IL"/>
          <w:rFonts w:hint="cs" w:cs="FrankRuehl"/>
          <w:szCs w:val="26"/>
          <w:rtl/>
        </w:rPr>
        <w:tab/>
        <w:t xml:space="preserve">חוק השקעות משותפות בנאמנות,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(יג)</w:t>
      </w:r>
      <w:r>
        <w:rPr>
          <w:lang w:bidi="he-IL"/>
          <w:rFonts w:hint="cs" w:cs="FrankRuehl"/>
          <w:szCs w:val="26"/>
          <w:rtl/>
        </w:rPr>
        <w:tab/>
        <w:t xml:space="preserve">חוק הבנקאות (רישוי),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(יד)</w:t>
      </w:r>
      <w:r>
        <w:rPr>
          <w:lang w:bidi="he-IL"/>
          <w:rFonts w:hint="cs" w:cs="FrankRuehl"/>
          <w:szCs w:val="26"/>
          <w:rtl/>
        </w:rPr>
        <w:tab/>
        <w:t xml:space="preserve">חוק ההגבלים העסקיים, התשמ"ח-1988;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עבירת מקור, שאינה מפורטת בפסקה (1), אשר העונש הקבוע לה הוא שלוש שנות מאסר לפחות, ובלבד שהחקירה בעניינה החלה כחלק מחקירת עבירה לפי סעיף 3 או 4 לחוק.</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מנהל המחלקה לחקירת שוטרים ידווח לשר המשפטים, בכתב, מדי שנה בשנה, על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ההחלטות על שימוש במידע לצורך המטרות הנוספות, בחלוקה לפי מידע שהתבקש מאת הרשות ומידע שהועבר ביוזמת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ההחלטות על העברת מידע לגורמים מחוץ למחלקה לחקירת שוטרים לפי תקנות 3 ו-4, בחלוקה לפי הגורמים שאליהם הועבר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העבירות הנוספות שלשם חקירתן או מניעתן נעשה שימוש במידע לפי תקנה 3, ומספר המקרים לגבי כל 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הזמן שחלף ממועד העברת המידע מהרשות עד שהוחלט על השימוש במידע לשם חקירה או מניעה של עבירות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מן הדיווח יימסר לוועדת החוקה חוק ומשפט של הכנסת.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3 ו-4)</w:t>
      </w:r>
    </w:p>
    <w:p>
      <w:pPr>
        <w:bidi/>
        <w:spacing w:before="70" w:after="5" w:line="250" w:lineRule="auto"/>
        <w:jc w:val="center"/>
      </w:pPr>
      <w:defaultTabStop w:val="720"/>
      <w:r>
        <w:rPr>
          <w:lang w:bidi="he-IL"/>
          <w:rFonts w:hint="cs" w:cs="FrankRuehl"/>
          <w:szCs w:val="26"/>
          <w:b/>
          <w:bCs/>
          <w:rtl/>
        </w:rPr>
        <w:t xml:space="preserve">חלק א':רשויות שניתן להעביר אליהן מידע לפי תקנה 3 לצורך המטרות הנוספות</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(1)</w:t>
      </w:r>
      <w:r>
        <w:rPr>
          <w:lang w:bidi="he-IL"/>
          <w:rFonts w:hint="cs" w:cs="FrankRuehl"/>
          <w:szCs w:val="26"/>
          <w:rtl/>
        </w:rPr>
        <w:tab/>
        <w:t xml:space="preserve">משטרה;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(2)</w:t>
      </w:r>
      <w:r>
        <w:rPr>
          <w:lang w:bidi="he-IL"/>
          <w:rFonts w:hint="cs" w:cs="FrankRuehl"/>
          <w:szCs w:val="26"/>
          <w:rtl/>
        </w:rPr>
        <w:tab/>
        <w:t xml:space="preserve">שירות הביטחון הכללי;</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(3)</w:t>
      </w:r>
      <w:r>
        <w:rPr>
          <w:lang w:bidi="he-IL"/>
          <w:rFonts w:hint="cs" w:cs="FrankRuehl"/>
          <w:szCs w:val="26"/>
          <w:rtl/>
        </w:rPr>
        <w:tab/>
        <w:t xml:space="preserve">משטרה צבאית חוקרת;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(4)</w:t>
      </w:r>
      <w:r>
        <w:rPr>
          <w:lang w:bidi="he-IL"/>
          <w:rFonts w:hint="cs" w:cs="FrankRuehl"/>
          <w:szCs w:val="26"/>
          <w:rtl/>
        </w:rPr>
        <w:tab/>
        <w:t xml:space="preserve">היחידה לחקירות פנים של המשטרה הצבאית;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(5)</w:t>
      </w:r>
      <w:r>
        <w:rPr>
          <w:lang w:bidi="he-IL"/>
          <w:rFonts w:hint="cs" w:cs="FrankRuehl"/>
          <w:szCs w:val="26"/>
          <w:rtl/>
        </w:rPr>
        <w:tab/>
        <w:t xml:space="preserve">רשות ניירות ערך;</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(6)</w:t>
      </w:r>
      <w:r>
        <w:rPr>
          <w:lang w:bidi="he-IL"/>
          <w:rFonts w:hint="cs" w:cs="FrankRuehl"/>
          <w:szCs w:val="26"/>
          <w:rtl/>
        </w:rPr>
        <w:tab/>
        <w:t xml:space="preserve">רשות ההגבלים העסקיים;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(7)</w:t>
      </w:r>
      <w:r>
        <w:rPr>
          <w:lang w:bidi="he-IL"/>
          <w:rFonts w:hint="cs" w:cs="FrankRuehl"/>
          <w:szCs w:val="26"/>
          <w:rtl/>
        </w:rPr>
        <w:tab/>
        <w:t xml:space="preserve">רשות המסים בישראל;</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(8)</w:t>
      </w:r>
      <w:r>
        <w:rPr>
          <w:lang w:bidi="he-IL"/>
          <w:rFonts w:hint="cs" w:cs="FrankRuehl"/>
          <w:szCs w:val="26"/>
          <w:rtl/>
        </w:rPr>
        <w:tab/>
        <w:t xml:space="preserve">אגף המודיעין בצבא ההגנה לישראל;</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(9)</w:t>
      </w:r>
      <w:r>
        <w:rPr>
          <w:lang w:bidi="he-IL"/>
          <w:rFonts w:hint="cs" w:cs="FrankRuehl"/>
          <w:szCs w:val="26"/>
          <w:rtl/>
        </w:rPr>
        <w:tab/>
        <w:t xml:space="preserve">המוסד למודיעין ולתפקידים מיוחדים;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(10)</w:t>
      </w:r>
      <w:r>
        <w:rPr>
          <w:lang w:bidi="he-IL"/>
          <w:rFonts w:hint="cs" w:cs="FrankRuehl"/>
          <w:szCs w:val="26"/>
          <w:rtl/>
        </w:rPr>
        <w:tab/>
        <w:t xml:space="preserve">יחידה במלמ"ב.</w:t>
      </w:r>
    </w:p>
    <w:p>
      <w:pPr>
        <w:bidi/>
        <w:spacing w:before="70" w:after="5" w:line="250" w:lineRule="auto"/>
        <w:jc w:val="center"/>
      </w:pPr>
      <w:defaultTabStop w:val="720"/>
      <w:r>
        <w:rPr>
          <w:lang w:bidi="he-IL"/>
          <w:rFonts w:hint="cs" w:cs="FrankRuehl"/>
          <w:szCs w:val="26"/>
          <w:b/>
          <w:bCs/>
          <w:rtl/>
        </w:rPr>
        <w:t xml:space="preserve">חלק ב':רשויות שניתן להעביר אליהן מידע לפי תקנה 4 לצורך המטרות העיקריות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w:t>
      </w:r>
      <w:r>
        <w:rPr>
          <w:lang w:bidi="he-IL"/>
          <w:rFonts w:hint="cs" w:cs="FrankRuehl"/>
          <w:szCs w:val="26"/>
          <w:rtl/>
        </w:rPr>
        <w:tab/>
        <w:t xml:space="preserve">משטרה;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(2)</w:t>
      </w:r>
      <w:r>
        <w:rPr>
          <w:lang w:bidi="he-IL"/>
          <w:rFonts w:hint="cs" w:cs="FrankRuehl"/>
          <w:szCs w:val="26"/>
          <w:rtl/>
        </w:rPr>
        <w:tab/>
        <w:t xml:space="preserve">שירות הביטחון הכללי;</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(3)</w:t>
      </w:r>
      <w:r>
        <w:rPr>
          <w:lang w:bidi="he-IL"/>
          <w:rFonts w:hint="cs" w:cs="FrankRuehl"/>
          <w:szCs w:val="26"/>
          <w:rtl/>
        </w:rPr>
        <w:tab/>
        <w:t xml:space="preserve">משטרה צבאית חוקרת;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(4)</w:t>
      </w:r>
      <w:r>
        <w:rPr>
          <w:lang w:bidi="he-IL"/>
          <w:rFonts w:hint="cs" w:cs="FrankRuehl"/>
          <w:szCs w:val="26"/>
          <w:rtl/>
        </w:rPr>
        <w:tab/>
        <w:t xml:space="preserve">היחידה לחקירות פנים של המשטרה הצבאית;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(5)</w:t>
      </w:r>
      <w:r>
        <w:rPr>
          <w:lang w:bidi="he-IL"/>
          <w:rFonts w:hint="cs" w:cs="FrankRuehl"/>
          <w:szCs w:val="26"/>
          <w:rtl/>
        </w:rPr>
        <w:tab/>
        <w:t xml:space="preserve">אגף המודיעין בצבא ההגנה לישראל;</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(6)</w:t>
      </w:r>
      <w:r>
        <w:rPr>
          <w:lang w:bidi="he-IL"/>
          <w:rFonts w:hint="cs" w:cs="FrankRuehl"/>
          <w:szCs w:val="26"/>
          <w:rtl/>
        </w:rPr>
        <w:tab/>
        <w:t xml:space="preserve">המוסד למודיעין ולתפקידים מיוחדים;</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(7)</w:t>
      </w:r>
      <w:r>
        <w:rPr>
          <w:lang w:bidi="he-IL"/>
          <w:rFonts w:hint="cs" w:cs="FrankRuehl"/>
          <w:szCs w:val="26"/>
          <w:rtl/>
        </w:rPr>
        <w:tab/>
        <w:t xml:space="preserve">שר הביטחון;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(8)</w:t>
      </w:r>
      <w:r>
        <w:rPr>
          <w:lang w:bidi="he-IL"/>
          <w:rFonts w:hint="cs" w:cs="FrankRuehl"/>
          <w:szCs w:val="26"/>
          <w:rtl/>
        </w:rPr>
        <w:tab/>
        <w:t xml:space="preserve">שירות בתי הסוהר.</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ab04382c5c14ee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פקיד מכס – לשם הפעלת סמכויות לפי סעיפים 26 ו-27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ממונה לפי סעיף 12 לחוק ומפקח שמונה לפי סעיף 11יד לחוק – לשם פיקוח על ביצוע הוראות החוק ולשם הטלת עיצום כספי לפי הוראות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ועדה להטלת עיצום כספי שהוקמה לפי סעיף 13 לחוק – לשם הטלת עיצום כספי לפי הוראות החוק.</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5(א))</w:t>
      </w:r>
    </w:p>
    <w:p>
      <w:pPr>
        <w:bidi/>
        <w:spacing w:before="45" w:after="5" w:line="250" w:lineRule="auto"/>
        <w:jc w:val="center"/>
      </w:pPr>
      <w:defaultTabStop w:val="720"/>
      <w:r>
        <w:rPr>
          <w:lang w:bidi="he-IL"/>
          <w:rFonts w:hint="cs" w:cs="FrankRuehl"/>
          <w:szCs w:val="26"/>
          <w:rtl/>
        </w:rPr>
        <w:t xml:space="preserve">החלטה על שימוש במידע והעברתו לרשות אחרת לצורך המטרות הנוספות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4fac1b6a0c54caa">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5(א))</w:t>
      </w:r>
    </w:p>
    <w:p>
      <w:pPr>
        <w:bidi/>
        <w:spacing w:before="45" w:after="5" w:line="250" w:lineRule="auto"/>
        <w:jc w:val="center"/>
      </w:pPr>
      <w:defaultTabStop w:val="720"/>
      <w:r>
        <w:rPr>
          <w:lang w:bidi="he-IL"/>
          <w:rFonts w:hint="cs" w:cs="FrankRuehl"/>
          <w:szCs w:val="26"/>
          <w:rtl/>
        </w:rPr>
        <w:t xml:space="preserve">החלטה על העברת מידע לרשות אחרת לצורך המטרות העיקריות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בתוקף סמכותי לפי תקנה 4 לתקנות איסור הלבנת הון (כללים לשימוש במידע שהועבר למחלקה לחקירת שוטרים לשם חקירת עבירות נוספות ולהעברתו לרשות אחרת), התשפ"ב-2022, החלטתי על העברת המידע המצוי במסמך המצ"ב, מספר סימוכין __________, שהועבר מהרשות לאיסור הלבנת הון ומימון טרור, וזאת לצורך ביצוע חוק איסור הלבנת הון, התש"ס-2000 / חוק המאבק בטרור, התשע"ו-2016 / פקודת המסחר עם האויב / חוק למניעת הפצה ומימון של נשק להשמדה המונית / סימן א' בפרק ב' לחוק המאבק בתוכנית הגרעין של איראן / לשם הגנה על ביטחון המדינה / לשם המלחמה בארגוני טרור, בארגוני טרור מוכרזים ובמעשי טרור (מחק את המיותר), אל: ____________ (שם הגוף החוקר / הרשות החוקרת המופיע בתוספת הראשונה), וזאת לצורך המצוין לעיל.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(כללים לשימוש במידע שהועבר למחלקה לחקירת שוטרים לשם חקירת עבירות נוספות ולהעברתו לרשות אחרת),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d99325840454c56" /><Relationship Type="http://schemas.openxmlformats.org/officeDocument/2006/relationships/hyperlink" Target="https://www.nevo.co.il/laws/#/624bcb82371f308484b95b27/clause/624bd387371f308484b95c6d" TargetMode="External" Id="Raab04382c5c14eef" /><Relationship Type="http://schemas.openxmlformats.org/officeDocument/2006/relationships/hyperlink" Target="https://www.nevo.co.il/laws/#/624bcb82371f308484b95b27/clause/624bd4a7371f308484b95c80" TargetMode="External" Id="R74fac1b6a0c54caa" /><Relationship Type="http://schemas.openxmlformats.org/officeDocument/2006/relationships/header" Target="/word/header1.xml" Id="r97" /><Relationship Type="http://schemas.openxmlformats.org/officeDocument/2006/relationships/footer" Target="/word/footer1.xml" Id="r98" /></Relationships>
</file>