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193a7b4fa6d452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לשימוש במידע שהועבר למשטרת ישראל ולשירות הביטחון הכללי לשם חקירת עבירות נוספות ולהעברתו לרשות אחרת),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גורם מוסמך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במידע והעברתו לצורך המטרות הנוספות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לצורך המטרות העיקריות לרשות אחרת בישראל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החלטות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מגבלה על העברת מידע ושימוש במידע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העבירות הנוספות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לשימוש במידע שהועבר למשטרת ישראל ולשירות הביטחון הכללי לשם חקירת עבירות נוספות ולהעברתו לרשות אחרת),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30(ז) ו-(ט) ו-32 לחוק איסור הלבנת הון, התש"ס-2000 (להלן – החוק), בהתייעצות עם השר לביטחון הפנים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"המשטרה" – משטרת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לאיסור הלבנת הון ומימון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"השב"כ" – שירות הביטחון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הוראות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"עבירה נוספת" – כל אחת מהעבירות המפורטות בתקנה 7.</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גורם מוסמך</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המפקח הכללי של המשטרה ימנה במשטרה וראש השב"כ ימנה בשב"כ גורמים כמפורט בתקנת משנה (ב) (להלן – גורם מוסמך), שיהיו רשאים להחליט, במקרה מסוים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שימוש במידע שהתקבל לפי החוק מהרשות, לשם חקירת עבירות נוספות ומניעתן ולשם גילוי עבריינים בעבירות האמורות והעמדתם לדין (בתקנות אלה – המטרות הנוספות);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העברת מידע לגורם מחוץ למשטרה או לשב"כ, כמפורט בתקנות 3 ו-4.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הוא: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במשטרה – קצין בדרגת ניצב משנה ומעלה;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בשב"כ – ראש מרכז שליטה במטה שב"כ או ראש מחלקה במרכז שליטה כאמור, שהוא הסמיך לשם כך.</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במידע והעברתו לצורך המטרות הנוספות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מצא גורם מוסמך כי יש יסוד סביר להניח שבמידע שהתקבל לפי החוק מהרשות יש כדי לקדם באופן ממשי, במקרה מסוים, את השגת המטרות הנוספות בענין עבירה מהעבירות הנוספות, רשאי הוא להתיר את השימוש במידע למטרות אלה, לרבות העברתו לשם כך, אם מצא שיש בכך צורך, לגורם מחוץ למשטרה או לשב"כ הקבוע בחלק א' של התוספת השלישית, המוסמך לבצע את החקירה בענין אותה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הגורם המוסמך לפי תקנת משנה (א) יתועדו לפי הטופס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על שימוש, לפי תקנה זו, במידע שהועבר לפי סעיף 30(ה) לחוק, לא תתקבל אם חלפו שנתיים מהמועד שבו התקבל המידע מהרשות.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לצורך המטרות העיקריות לרשות אחרת בישראל</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מצא גורם מוסמך כי לשם ביצועו של החוק או של חוק איסור מימון טרור, לשם הגנה על ביטחון המדינה או לשם המלחמה בארגוני טרור, בארגוני טרור מוכרזים ובמעשי טרור (להלן – המטרות העיקריות), יש להעביר מידע שהתקבל לפי החוק מהרשות לגורם בישראל מחוץ למשטרה או לשב"כ, המוסמך לפעול למטרות העיקריות, כקבוע בחלק ב' של התוספת השלישית, רשאי הוא להחליט על העברת המידע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הגורם המוסמך לפי תקנת משנה (א) יתועדו לפי הטופס שבתוספת השניה.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החלטות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רישום מרוכז של ההחלטות כאמור בתקנות 3(ב) ו-4(ב), ינוהל כמפורט בתקנת משנה (ב), ויצוינו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 מתן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העבירה הנוספת שלשם חקירתה או מניעתה נעשה שימוש במידע;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תמצית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היחידה או הגוף שאליו הועבר המידע, אם הועבר.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רישום החלטות כאמור בתקנות 3(ב) ו-4(ב) ינוהל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במשטרה – בידי ראש המחלקה לתיאום מבצעים משולב באגף חקירות ומודיעין של המשטרה או גורם שיקבע מתוך המחלקה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בשב"כ – בידי ראש מרכז שליטה במטה שב"כ או גורם שיקבע מקרב הכפופים לו.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מגבלה על העברת מידע ושימוש במידע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מידע ממאגר המידע לא יועבר לגורם בישראל מחוץ למשטרה או לשב"כ ולא ייעשה במידע שהועבר ממאגר המידע שימוש למטרות הנוספות, אלא בהתאם להוראות תקנות אלה או אם נקבע אחרת בהוראת חוק מפורשת.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בתקנת משנה (א) כדי למנוע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מהמשטרה או מהשב"כ למסור מידע לצורך קבלת חוות דעת של מומחה, אם הדבר דרוש לצורך החקירה, או לשתף רשות הממונה על חקירת עבירת המקור, בחקירת עבירה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מהמשטרה, מהשב"כ או מגורם שהועבר לו מידע לפי תקנה 3 או 4, להעביר מידע לגורם המוסמך לצורך העמדה לדין וניהול הליך משפטי.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העבירות הנוספות</w:t>
                </w:r>
              </w:p>
            </w:txbxContent>
          </v:textbox>
        </v:rect>
      </w:pict>
      <w:r>
        <w:rPr>
          <w:lang w:bidi="he-IL"/>
          <w:rFonts w:hint="cs" w:cs="FrankRuehl"/>
          <w:szCs w:val="34"/>
          <w:rtl/>
        </w:rPr>
        <w:t xml:space="preserve">7.</w:t>
      </w:r>
      <w:r>
        <w:rPr>
          <w:lang w:bidi="he-IL"/>
          <w:rFonts w:hint="cs" w:cs="FrankRuehl"/>
          <w:szCs w:val="26"/>
          <w:rtl/>
        </w:rPr>
        <w:tab/>
        <w:t xml:space="preserve">העבירות הנוספות הן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עבירה שהעונש הקבוע לה הוא חמש שנות מאסר לפחות לפי כל אחד מהחוקים האלה: חוק העונשין, התשל"ז-1977; חוק מאבק בארגוני פשיעה, התשס"ג-2003; פקודת הסמים המסוכנים [נוסח חדש], התשל"ג-1973; פקודת מניעת טרור, התש"ח-1948; תקנות ההגנה (שעת חירום), 1945; חוק למניעת הסתננות (עבירות ושיפוט), התשי"ד-1954; חוק השיפוט הצבאי, התשט"ו-1955, חוק ניירות ערך, התשכ"ח-1968, פקודת מס הכנסה, חוק מיסוי מקרקעין (שבח, מכירה ורכישה), התשכ"ג-1963, חוק מס ערך מוסף, התשל"ו-1975, חוק השקעות משותפות בנאמנות, התשנ"ד-1994, חוק הבנקאות (רישוי), התשמ"א-1981, חוק ההגבלים העסקיים,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עבירת מקור, שאינה מפורטת בפסקה (1), אשר העונש הקבוע לה הוא שלוש שנות מאסר לפחות, ובלבד שהחקירה בענינה החלה כחלק מחקירת עבירה לפי סעיפים 3 ו-4 לחוק.</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המפקח הכללי של המשטרה ידווח לשר לביטחון פנים וראש השב"כ ידווח לראש הממשלה, בכתב, מדי שנה,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ההחלטות על שימוש במידע לצורך המטרות הנוספות, בחלוקה לפי מידע שהתבקש מאת הרשות ומידע שהועבר מיזמת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ההחלטות על העברת מידע לגורמים מחוץ למשטרה או לשב"כ לפי תקנות 3 ו-4, בחלוקה לפי הגורמים שאליהם הועבר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העבירות שלשם חקירתן או מניעתן נעשה שימוש במידע לפי תקנה 3, ומספר המקרים ביחס לכל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הזמן שחלף ממועד העברת המידע מהרשות לאיסור הלבנת הון עד שהוחלט על השימוש במידע לשם חקירה או מניעה של עבירות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הדיווח יימסר לשר המשפטים ולוועדת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3(ב))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c64bade51ed41df">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4(ב))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c895dd7f4464623">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3 ו-4)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86aa560fa0a43f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6661b53569c4bc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רמון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לשימוש במידע שהועבר למשטרת ישראל ולשירות הביטחון הכללי לשם חקירת עבירות נוספות ולהעברתו לרשות אחרת),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4d8be96cc2e4d84" /><Relationship Type="http://schemas.openxmlformats.org/officeDocument/2006/relationships/hyperlink" Target="https://www.nevo.co.il/laws/#/619f9237c178fa4ae9c6f60b/clause/619f9c51c178fa4ae9c6f803" TargetMode="External" Id="R6c64bade51ed41df" /><Relationship Type="http://schemas.openxmlformats.org/officeDocument/2006/relationships/hyperlink" Target="https://www.nevo.co.il/laws/#/619f9237c178fa4ae9c6f60b/clause/619f9d35c178fa4ae9c6f80a" TargetMode="External" Id="R8c895dd7f4464623" /><Relationship Type="http://schemas.openxmlformats.org/officeDocument/2006/relationships/hyperlink" Target="https://www.nevo.co.il/laws/#/619f9237c178fa4ae9c6f60b/clause/619f9ed6c178fa4ae9c6f811" TargetMode="External" Id="R686aa560fa0a43f8" /><Relationship Type="http://schemas.openxmlformats.org/officeDocument/2006/relationships/hyperlink" Target="https://www.nevo.co.il/laws/#/619f9237c178fa4ae9c6f60b/clause/619fa041c178fa4ae9c6f815" TargetMode="External" Id="Rd6661b53569c4bc9" /><Relationship Type="http://schemas.openxmlformats.org/officeDocument/2006/relationships/header" Target="/word/header1.xml" Id="r97" /><Relationship Type="http://schemas.openxmlformats.org/officeDocument/2006/relationships/footer" Target="/word/footer1.xml" Id="r98" /></Relationships>
</file>