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cf07dd7565430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(הקצאה לקופות החולים),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מספר המבוטחים המשוקלל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לגבי תחום שירותי אשפוז פסיכיאטרי</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לגבי תחום נפגעי עבודה</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מבוטחים שלא יבואו בחישוב מספר המבוטחים המשוקלל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השיעור מהסכום לחלוקה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(הקצאה לקופות החולים),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 ו-60 לחוק ביטוח בריאות ממלכתי, התשנ"ד-1994 (להלן – החוק), ובאישור שר האוצר, שר העבודה והרווחה וועדת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מספר המבוטחים המשוקלל</w:t>
                </w:r>
              </w:p>
            </w:txbxContent>
          </v:textbox>
        </v:rect>
      </w:pict>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c099053f7bf34db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לגבי תחום שירותי אשפוז פסיכיאטרי</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לעניין תקנה זו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"אשפוז פסיכיאטרי" – אשפוז או אשפוז יום בבית חולים פסיכיאטרי או במחלקה פסיכיאטרית בבית חולים כללי;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"היקף כספי מוגדר א'" – 1,292 מיליון שקלים חדשים במחירי מדד יוקר הבריאות לשנת 2016, והחל בשנת 2017 ואילך – גם בתוספת עדכון עלות הסל בשל השינויים הדמוגרפיים שחלו באוכלוסייה, אם קבעו שר הבריאות ושר האוצר עדכון כאמור לפי סעיף 9(ב)(3) לחוק;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"מועד הבחירה" – אחד מהמועדים המנויים בתקנה 4 לתקנות ביטוח בריאות ממלכתי (חלוקת תקבולים), התשנ"ה-1995, לפי החלטת המוסד לביטוח לאומי;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"הסכום לחלוקה" – כהגדרתו בסעיף 18(א) לחוק;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"רגרסיה לינארית" – שיטת אמידה סטטיסטית לכימות הקשר בין ערכי משתנה תלויים לערכי משתנה בלתי תלויים;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"שיעור הבסיס" – שיעור המחושב בהתאם לחלקם של מבוטחי כל אחת מקופות החולים במספר ימי האשפוז הפסיכיאטרי, בשנים 2006 עד 2014, בהתאמה למחירם במחירון משרד הבריאות, בתוספת שיעור קו המגמה לשנים 2015 עד 2017, ושהוא, בנוגע לכל קופת חולים כמפורט להלן לצדה: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קופת חולים שירותי בריאות כללית – 62.8310%;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קופת חולים מכבי שירותי בריאות – 19.2707%;</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קופת חולים לאומית – 8.2830%;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קופת חולים מאוחדת – 9.6153%;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"שיעור קו המגמה" – שיעור המתקבל מקו המגמה שחושב באמצעות רגרסיה לינארית, על בסיס סדרת נתונים המתייחסת לחלקם של מבוטחי כל קופת חולים בסך כלל ימי האשפוז הפסיכיאטרי, בשנים 2006 עד 2014, ושהוא, בנוגע לכל קופת חולים כמפורט להלן לצדה: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קופת חולים שירותי בריאות כללית – 1.0055- נקודות אחוז;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קופת חולים מכבי שירותי בריאות – 0.4997+ נקודות אחוז;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קופת חולים לאומית – 0.1901+ נקודות אחוז;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קופת חולים מאוחדת – 0.3157+ נקודות אחוז.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1, לעניין היקף כספי מוגדר א' מן הסכום לחלוקה, לגבי תחום שירותי אשפוז פסיכיאטרי, תיעשה הקצאה לקופות החולים, מדי חודש בחודשו במועד הבחירה, לפי חלקה היחסי של כל אחת מקופות החולים, לעומת השאר, בתחום האמור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בשנת 2017 – לפי שיעור הבסיס;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שנה משנת 2018 ואילך – לפי שיעור הבסיס בתוספת שיעור קו המגמה לעומת השנה שקדמה 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לגבי תחום נפגעי עבודה</w:t>
                </w:r>
              </w:p>
            </w:txbxContent>
          </v:textbox>
        </v:rect>
      </w:pict>
      <w:r>
        <w:rPr>
          <w:lang w:bidi="he-IL"/>
          <w:rFonts w:hint="cs" w:cs="FrankRuehl"/>
          <w:szCs w:val="34"/>
          <w:rtl/>
        </w:rPr>
        <w:t xml:space="preserve">1ב.</w:t>
        <w:tab/>
      </w:r>
      <w:r>
        <w:rPr>
          <w:lang w:bidi="he-IL"/>
          <w:rFonts w:hint="cs" w:cs="FrankRuehl"/>
          <w:szCs w:val="26"/>
          <w:rtl/>
        </w:rPr>
        <w:t xml:space="preserve">(א)</w:t>
      </w:r>
      <w:r>
        <w:rPr>
          <w:lang w:bidi="he-IL"/>
          <w:rFonts w:hint="cs" w:cs="FrankRuehl"/>
          <w:szCs w:val="26"/>
          <w:rtl/>
        </w:rPr>
        <w:tab/>
        <w:t xml:space="preserve">לעניין תקנה זו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"הוצאות רכש השירותים לנפגעי עבודה" – החלק היחסי של כל קופת חולים בתמורה ששילם המוסד לביטוח לאומי לקופות החולים בעד מתן השירותים בידי הקופות לנפגעי עבודה;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"היקף כספי מוגדר ב'" – 579 מיליון שקלים חדשים במחירי מדד יוקר הבריאות לשנת 2016, והחל בשנת 2017 ואילך – גם בתוספת עדכון עלות הסל בשל השינויים הדמוגרפיים שחלו באוכלוסייה, אם קבעו שר הבריאות ושר האוצר עדכון כאמור לפי סעיף 9(ב)(3) לחוק;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"מועד הבחירה" – אחד מהמועדים המנויים בתקנה 4 לתקנות ביטוח בריאות ממלכתי (חלוקת תקבולים), התשנ"ה-1995, לפי החלטת המוסד לביטוח לאומי;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"הסכום לחלוקה" – כהגדרתו בסעיף 18(א)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1, לעניין היקף כספי מוגדר ב' מן הסכום לחלוקה, תיעשה ההקצאה לקופות החולים לגבי תחום נפגעי עבודה, מדי חודש בחודשו במועד הבחירה לפי חלקה היחסי של כל אחת מקופות החולים, לעומת השאר, בתחום האמור כמפורט להלן: החלק היחסי של כל קופה יחושב על פי ממוצע חלקה בהוצאות רכש השירותים לנפגעי עבודה בכל אחת מהשנים 2010 עד 2015, והוא יהיה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קופת חולים שירותי בריאות כללית – 57.142%;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קופת חולים מכבי שירותי בריאות – 23.169%;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קופת חולים לאומית – 9.744%;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קופת חולים מאוחדת – 9.945%.</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מבוטחים שלא יבואו בחישוב מספר המבוטחים המשוקלל</w:t>
                </w:r>
              </w:p>
            </w:txbxContent>
          </v:textbox>
        </v:rect>
      </w:pict>
      <w:r>
        <w:rPr>
          <w:lang w:bidi="he-IL"/>
          <w:rFonts w:hint="cs" w:cs="FrankRuehl"/>
          <w:szCs w:val="34"/>
          <w:rtl/>
        </w:rPr>
        <w:t xml:space="preserve">2.</w:t>
      </w:r>
      <w:r>
        <w:rPr>
          <w:lang w:bidi="he-IL"/>
          <w:rFonts w:hint="cs" w:cs="FrankRuehl"/>
          <w:szCs w:val="26"/>
          <w:rtl/>
        </w:rPr>
        <w:tab/>
        <w:t xml:space="preserve">בחישוב מספר המבוטחים המשוקלל לכל קופות החולים כאמור בסעיף 17 לחוק לא יבואו בחשבון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תושב ישראל שנמצא מחוץ לישראל תקופה העולה על שנתיים רצופות, ובכל אחת משנים אלה לא היה בישראל למעלה מ-90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תושב ישראל שנמצא במעצר או במאסר למעלה מ-12 חודשים.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השיעור מהסכום לחלוקה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בבואו לקבוע את השיעור מהסכום לחלוקה לגבי כל קופת חולים כאמור בסעיף 18(ב) לחוק, יסתמך המוסד לביטוח לאומי (להלן – המוסד) על נתונים המצויים בידיו עד ליום השלושים שלפני המועד לחישוב השיעור (להלן – מועד החישוב); לענין זה, "נתונים" – לרבות נתונים בטופס של המוסד לרישום בקופת חולים או למעבר מקופת חולים אחת לאחרת (להלן – טופס רישום ומעבר) שהמוסד מצא לאחר בדיקה כי פרטיו מלאים ותואמים את המידע המצוי ברשותו, וכי נתמלאו לגביו התנאים הקבועים לפי החוק לרישום או למעבר,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טופסי רישום ומעבר שנתקבלו במוסד 30 ימים או יותר לאחר המועד שבו נתקבלו בקופת החולים, לא יובאו בחשבון לענין קביעת שיעור הסכום לחלוקה במועד החישוב הסמוך למועד קבלתם במוסד, אף אם קיבל אותם בזמן.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5.</w:t>
      </w:r>
      <w:r>
        <w:rPr>
          <w:lang w:bidi="he-IL"/>
          <w:rFonts w:hint="cs" w:cs="FrankRuehl"/>
          <w:szCs w:val="26"/>
          <w:rtl/>
        </w:rPr>
        <w:tab/>
        <w:t xml:space="preserve">בקביעת השיעור מהסכום לחלוקה שיחשב המוסד לראשונה לפי החוק, יסתמך על הצהרות כאמור בתקנה 9 לתקנות מס מקביל (חלוקה לקופות חולים), התשנ"ג-1993, ועל נתונים אחרים שהיו בידי המוסד עד ליום השלושים שלפני מועד חישוב השיעור לראשונה לפי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(הקצאה לקופות החולים), תשנ"ה-1995,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cc50913a6624f0c" /><Relationship Type="http://schemas.openxmlformats.org/officeDocument/2006/relationships/hyperlink" Target="https://www.nevo.co.il/laws/#/62f4db0d79ef5e0ec6958064/clause/63021610f003673b263c4083" TargetMode="External" Id="Rc099053f7bf34db6" /><Relationship Type="http://schemas.openxmlformats.org/officeDocument/2006/relationships/header" Target="/word/header1.xml" Id="r97" /><Relationship Type="http://schemas.openxmlformats.org/officeDocument/2006/relationships/footer" Target="/word/footer1.xml" Id="r98" /></Relationships>
</file>