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cfdf0f05d1447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האזרחות (סדרי הדין בבקשה לביטול אזרחות),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תשובה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מסמך לבית המשפט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הטיעון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בבקשת שר הפנים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דחוף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אחרת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בתי משפט לעניינים מינהליים (סדרי דין)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תקנות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האזרחות (סדרי הדין בבקשה לביטול אזרחות),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11(ז) ו-17(ב) לחוק האזרחות, התשי"ב-1952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לעניינים מינהליים כמשמעותו בסעיף 3 לחוק בתי משפט לעניינים מינהליים,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אחרת" – בקשת ביניים המוגשת במהלך הליכי הדיון בבקשת שר הפנים וכן בקשה לביטול לפי סעיף 11(ד3)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שר הפנים" – בקשה של שר הפנים לפי סעיף 11(ב)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"המשיב" – כמשמעותו בתקנה 4.</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שר הפנים תוגש בכתב לבית המשפט שבאזור שיפוטו נמצא מענו הרשום במרשם האוכלוסין של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שלא ניתן להגיש כאמור בתקנת משנה (א) בשל כך שלא נמצא לה מקום השיפוט המתאים לפי תקנת המשנה האמורה, תוגש לבית המשפט בירושלים; ואולם רשאי שופט של בית המשפט העליון, לבקשת בעל דין, להורות כי הבקשה תועבר לבית משפט אחר.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בקשת שר הפנים תכלול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המשיב, מספר זהותו, מועד הקניית אזרחותו וסעיף החוק שמכוחו הוקנתה לו האזרחות, תאריך ומקום לידתו;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מענו הרשום במרשם האוכלוסין של המשיב;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הנימוקים שבעובדה ושבחוק שעליהם מתבססת בקשת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קדמה להגשת הבקשה חוות דעת של הוועדה המייעצת לפי סעיף 11(ח) לחוק – תצורף לה חוות הדעת של הוועדה המייעצת;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לבקשת שר הפנים שהיא בקשה לפי פסקה (2) שבסעיף 11(ב) לחוק – יצורף גם העתק של הסכמתו בכתב של היועץ המשפטי לממשלה הנדרשת לפי סעיף 11(ג)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העובדות שבבקשת שר הפנים יאומתו בתצהיר אשר יצורף לבקשה ואשר יהיה ערוך לפי הטופס שבתוספת; בתצהיר תהיה הפרדה בין עובדות שהן בידיעתו האישית של המצהיר לבין עובדות הנכונות לפי מיטב ידיעתו ואמונתו, שלגביהן יציין את מקור ידיעתו ואמונתו.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לבקשת שר הפנים יצורפו, ככל שניתן, העתקים צילומיים של כל המסמכים הנוגעים לעניין.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w:t>
                </w:r>
              </w:p>
            </w:txbxContent>
          </v:textbox>
        </v:rect>
      </w:pict>
      <w:r>
        <w:rPr>
          <w:lang w:bidi="he-IL"/>
          <w:rFonts w:hint="cs" w:cs="FrankRuehl"/>
          <w:szCs w:val="34"/>
          <w:rtl/>
        </w:rPr>
        <w:t xml:space="preserve">4.</w:t>
      </w:r>
      <w:r>
        <w:rPr>
          <w:lang w:bidi="he-IL"/>
          <w:rFonts w:hint="cs" w:cs="FrankRuehl"/>
          <w:szCs w:val="26"/>
          <w:rtl/>
        </w:rPr>
        <w:tab/>
        <w:t xml:space="preserve">המשיב בבקשת שר הפנים הוא מי שלגביו הוגשה הבקשה לביטול אזרחותו.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תשובה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המשיב יגיש בכתב כתב תשובה בתוך שלושים ימים מהיום שבו הומצאה לו בקשת שר הפנים אלא אם כן קבע בית המשפט 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תשובה יכלול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מען המשיב להמצאת כתבי בי-דין;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הנימוקים שבעובדה ושבחוק שעליהם מתבססת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העובדות שבכתב התשובה יאומתו בתצהיר אשר יצורף לכתב התשובה ואשר יהיה ערוך לפי הטופס שבתוספת; בתצהיר תהיה הפרדה בין עובדות שהן בידיעתו האישית של המצהיר לבין עובדות הנכונות לפי מיטב ידיעתו ואמונתו, שלגביהן יציין את מקור ידיעתו ואמונתו.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לכתב התשובה יצורפו, ככל שניתן, העתקים צילומיים של כל המסמכים הנוגעים לעניין.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מסמך לבית המשפט</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ראה בית המשפט כי מסמך או פרט אחר דרוש לשם הכרעה בעניין שלפניו, רשאי הוא להורות לבעל הדין שהמסמך או הפרט נמצא ברשותו להגישו לבית המשפט במועד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הדין יגיש את המסמך או את הפרט האחר כאמור בתקנת משנה (א) לבית המשפט ולבעל הדין האחר; בעל הדין האחר רשאי להגיש את הערותיו בכתב, ככל שהדבר נובע מהגשת המסמך או הפרט, במועד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התנגד בעל הדין להגשת המסמך או הפרט האחר כאמור בתקנת משנה (א), יודיע לבית המשפט, במועד שיקבע בית המשפט לכך, את טעמי התנגדותו.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בית המשפט לדחות את ההתנגדות יחול האמור בתקנת משנה (ב).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בית המשפט ידון בבקשת שר הפנים על פי מכלול הראיות שהובאו לפניו ובכלל זה ראיות שהוגשו לפי סעיף 11(ה)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לבקשת בעל דין, להתיר חקירת מצהיר של בעל הדין שכנגד, אם ראה כי הדבר דרוש לשם הכרעה בבקשת שר הפנים, ובלבד שהחקירה תתייחס לאמור בתצהירו של המצהיר שחקירתו הותרה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לחקירת מצהיר תוגש לבית המשפט, בלא דיחוי ולא יאוחר משלושה ימים לפני מועד הדיון, ותפרט את הנושאים שעליהם מתבקשת החקירה; המבקש יציין בבקשה כאמור את עמדתו של בעל הדין שמטעמו הוגש התצהיר, לעניין הבקשה, וכן יצרף את תגובתו של אותו בעל דין, אם התבקש לכך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דחה בית משפט את הבקשה לחקירת מצהיר, יורה על התייצבותו של המצהיר לחקירה במועד הדיון בבקשת שר הפנים, אך רשאי הוא לדחות את מתן החלטתו למועד הדיון; החליט בית המשפט במהלך הדיון בבקשת שר הפנים להתיר את חקירת המצהיר, רשאי הוא להורות על חקירתו לאלתר, אם הוא נוכח בדיון, או לקבוע את המועד לקיום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התייצב המצהיר בהתאם להחלטת בית המשפט, לא ישמש תצהירו כראיה אלא ברשות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ראה בית המשפט שהדבר דרוש לשם הכרעה בבקשת שר הפנים, רשאי הוא, לאחר שנתן לשאר בעלי הדין הזדמנות להגיב לבקשה, ומטעמים מיוחדים שיירשמו, להרשות השמעת עד שאינו מצהיר בנושא ובהיקף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הטיעון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שר הפנים יטען תחילה והמשיב יטען אחריו, אלא אם כן קבע בית המשפט סדר טיעון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להתיר לבעל דין טיעון נוסף בתשובה לטענות בעל הדין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התיר בית המשפט חקירת מצהיר כאמור בתקנה 7(ב) או הרשה חקירת עד שאינו מצהיר כאמור בתקנה 7(ו), תיערך החקירה לפני שמיעת טענות בעלי הדין, ואולם רשאי בית המשפט, אם ראה טעם לכך, להתיר חקירת מצהיר בשלב אחר של הדיון; המצהיר מטעם שר הפנים ייחקר תחילה, אלא אם כן קבע בית המשפט סדר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להורות על השלמת טיעונים בכתב בעניינים שקבע, במקום טיעון בעל פה.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בבקשת שר הפנים</w:t>
                </w:r>
              </w:p>
            </w:txbxContent>
          </v:textbox>
        </v:rect>
      </w:pict>
      <w:r>
        <w:rPr>
          <w:lang w:bidi="he-IL"/>
          <w:rFonts w:hint="cs" w:cs="FrankRuehl"/>
          <w:szCs w:val="34"/>
          <w:rtl/>
        </w:rPr>
        <w:t xml:space="preserve">9.</w:t>
      </w:r>
      <w:r>
        <w:rPr>
          <w:lang w:bidi="he-IL"/>
          <w:rFonts w:hint="cs" w:cs="FrankRuehl"/>
          <w:szCs w:val="26"/>
          <w:rtl/>
        </w:rPr>
        <w:tab/>
        <w:t xml:space="preserve">בתום הדיון, או סמוך לאחריו, ככל האפשר בנסיבות העניין, ייתן בית המשפט את החלטתו בבקשת שר הפנים.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דחוף</w:t>
                </w:r>
              </w:p>
            </w:txbxContent>
          </v:textbox>
        </v:rect>
      </w:pict>
      <w:r>
        <w:rPr>
          <w:lang w:bidi="he-IL"/>
          <w:rFonts w:hint="cs" w:cs="FrankRuehl"/>
          <w:szCs w:val="34"/>
          <w:rtl/>
        </w:rPr>
        <w:t xml:space="preserve">10.</w:t>
      </w:r>
      <w:r>
        <w:rPr>
          <w:lang w:bidi="he-IL"/>
          <w:rFonts w:hint="cs" w:cs="FrankRuehl"/>
          <w:szCs w:val="26"/>
          <w:rtl/>
        </w:rPr>
        <w:tab/>
        <w:t xml:space="preserve">ראה בית המשפט כי נסיבות העניין מחייבות שלא להשהות את הדיון בבקשת שר הפנים שלפניו, רשאי הוא לדון בה בדחיפות בסטייה מהאמור בתקנות אלה, ככל הנדרש.</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אחרת</w:t>
                </w:r>
              </w:p>
            </w:txbxContent>
          </v:textbox>
        </v:rect>
      </w:pict>
      <w:r>
        <w:rPr>
          <w:lang w:bidi="he-IL"/>
          <w:rFonts w:hint="cs" w:cs="FrankRuehl"/>
          <w:szCs w:val="34"/>
          <w:rtl/>
        </w:rPr>
        <w:t xml:space="preserve">11.</w:t>
      </w:r>
      <w:r>
        <w:rPr>
          <w:lang w:bidi="he-IL"/>
          <w:rFonts w:hint="cs" w:cs="FrankRuehl"/>
          <w:szCs w:val="26"/>
          <w:rtl/>
        </w:rPr>
        <w:tab/>
        <w:t xml:space="preserve">בקשה אחרת, למעט בקשה המועלית במהלך הדיון ברשות בית המשפט, תוגש בכתב, ואם היא מעלה טענות שבעובדה תהיה נתמכת בתצהיר אשר יצורף לה ואשר יהיה ערוך לפי הטופס שבתוספת; בתצהיר תהיה הפרדה בין עובדות שהן בידיעתו האישית של המצהיר לבין עובדות הנכונות לפי מיטב ידיעתו ואמונתו, שלגביהן יציין את מקור ידיעתו ואמונתו.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בתי משפט לעניינים מינהליים (סדרי דין)</w:t>
                </w:r>
              </w:p>
            </w:txbxContent>
          </v:textbox>
        </v:rect>
      </w:pict>
      <w:r>
        <w:rPr>
          <w:lang w:bidi="he-IL"/>
          <w:rFonts w:hint="cs" w:cs="FrankRuehl"/>
          <w:szCs w:val="34"/>
          <w:rtl/>
        </w:rPr>
        <w:t xml:space="preserve">12.</w:t>
      </w:r>
      <w:r>
        <w:rPr>
          <w:lang w:bidi="he-IL"/>
          <w:rFonts w:hint="cs" w:cs="FrankRuehl"/>
          <w:szCs w:val="26"/>
          <w:rtl/>
        </w:rPr>
        <w:tab/>
        <w:t xml:space="preserve">האמור בפרקים ה', ו' ו-ז' לתקנות בתי משפט לענינים מינהליים (סדרי דין), התשס"א-2000, יחול על הליכי הדיון בבקשת שר הפנים, בשינויים המחויבים, ובלבד שאין בכך דבר שאינו מתיישב עם החוק, עם תקנות אלה או עם תקנות אחרות לפי החוק.</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תקנות סדר הדין האזרחי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תקנות סדר הדין האזרחי, התשמ"ד-1984, לא יחולו על הליכי הדיון בבקשת שר הפנים; ואולם בעניין שלא הוסדר בתקנות אלה או בתקנות אחרות לפי החוק, רשאי בית המשפט לנהוג בבקשת שר הפנים לפי תקנות סדר הדין האזרחי, התשמ"ד-1984, בשינויים המחויבים, אם ראה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הדבר דרוש לצורך הכרעה בבקשת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בכך דבר שאינו מתיישב עם החוק, עם חוק בתי משפט לעניינים מינהליים, התש"ס-2000, עם תקנות אלה, עם תקנות אחרות לפי החוק, עם תקנות בתי משפט לעניינים מינהליים (סדרי דין), התשס"א-2000, או עם מהות ההליך המִינהלי;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בכך כדי לפגוע בקיום ההליך באופן הוגן ויעיל.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 בית המשפט כאמור בתקנת משנה (א) אלא אם כן נתן לבעלי הדין הזדמנות להשמיע את טענותיהם, ומטעמים שיירשמו.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תקנות</w:t>
                </w:r>
              </w:p>
            </w:txbxContent>
          </v:textbox>
        </v:rect>
      </w:pict>
      <w:r>
        <w:rPr>
          <w:lang w:bidi="he-IL"/>
          <w:rFonts w:hint="cs" w:cs="FrankRuehl"/>
          <w:szCs w:val="34"/>
          <w:rtl/>
        </w:rPr>
        <w:t xml:space="preserve">14.</w:t>
      </w:r>
      <w:r>
        <w:rPr>
          <w:lang w:bidi="he-IL"/>
          <w:rFonts w:hint="cs" w:cs="FrankRuehl"/>
          <w:szCs w:val="26"/>
          <w:rtl/>
        </w:rPr>
        <w:tab/>
        <w:t xml:space="preserve">תקנות האזרחות (סדר הדין בבקשה לביטול האזרחות), התשל"א-1971 – בטלות.</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3(ב), 5(ג) ו-11)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e5b6c1180194c01">
        <w:r>
          <w:rPr>
            <w:rStyle w:val="Hyperlink"/>
            <w:u w:val="single"/>
            <w:color w:themeColor="hyperlink"/>
          </w:rPr>
          <w:t>טופס תצהיר מטעם שר הפנים/המשיב</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האזרחות (סדרי הדין בבקשה לביטול אזרחות),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86430f4a53943ea" /><Relationship Type="http://schemas.openxmlformats.org/officeDocument/2006/relationships/hyperlink" Target="https://www.nevo.co.il/lawattachments/614ad0fffe2a09acc36e98cb/5b2aa4a0-01f7-4359-849f-a72c20cf89c1.doc" TargetMode="External" Id="Rae5b6c1180194c01" /><Relationship Type="http://schemas.openxmlformats.org/officeDocument/2006/relationships/header" Target="/word/header1.xml" Id="r97" /><Relationship Type="http://schemas.openxmlformats.org/officeDocument/2006/relationships/footer" Target="/word/footer1.xml" Id="r98" /></Relationships>
</file>