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9effba90294b6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(שימוש באלפא כלורלוז),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תכשיר על-ידי היצרן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תכשירים בהיתר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פתיון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שלט אזהרה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אריזת תכשירים וסימונם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מיוחד לגבי חיות בר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הגנת הצומח (שימוש באלפא כלורלוז),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4, 5 ו-7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האגף להגנת הצומח במשרד החקלאות או מי שהסמיך לענין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המייצר או המייבא תכשירים;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"מדביר" – בעל היתר לקטילת מכרסמים מאת ועדה לפי תקנה 30 לתקנות רישוי עסקים (הדברת מזיקים), 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"פתיון" – גרעינים או פירות מטופלים באלפא כלורלוז שריכוזו אינו עולה על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תערובת של חמרים כימיים המכילה אלפא כלורלוז בכל ריכוז שהוא, למעט פתיון.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תכשיר על-ידי היצרן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יצרן במכירת תכשיר, אלא אם ניתן לו רשיון בהתאם לתקנה 22 לתקנות הגנת הצומח (הסדר מכירת תכשירים כימיים), תשכ"ז-1967,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ימכור יצרן תכשיר אלא למדביר שמסר לו היתר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יצרן יעביר למנהל את ההיתרים שנמסרו לו בכל חודש, במכתב בדואר רשום עד החמישי בחודש שלאחריו.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תכשירים בהיתר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יקנה מדביר, לא יחזיק ולא יעביר תכשיר אלא לפי היתר בכתב מאת המנהל (להלן – ההיתר),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מדביר המבקש היתר, יפרט בבקשתו את מטרת השימוש, כמות התכשיר, ושם המשק שבו ישתמש בתכשיר.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יתן המנהל היתר למדביר אלא אם, לדעתו של המנהל, יש לו הידע בהכנת פתיון ובנקיטת אמצעי זהירות בהכנתו, והמנהל שוכנע שיש בידו ערובה מספקת לכיסוי כל נזק העלול להיגרם לבריאות אדם ובעלי-חיים בעקבות הכנת הפתיון והשימוש בו.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ההיתר</w:t>
                </w:r>
              </w:p>
            </w:txbxContent>
          </v:textbox>
        </v:rect>
      </w:pict>
      <w:r>
        <w:rPr>
          <w:lang w:bidi="he-IL"/>
          <w:rFonts w:hint="cs" w:cs="FrankRuehl"/>
          <w:szCs w:val="34"/>
          <w:rtl/>
        </w:rPr>
        <w:t xml:space="preserve">4.</w:t>
      </w:r>
      <w:r>
        <w:rPr>
          <w:lang w:bidi="he-IL"/>
          <w:rFonts w:hint="cs" w:cs="FrankRuehl"/>
          <w:szCs w:val="26"/>
          <w:rtl/>
        </w:rPr>
        <w:tab/>
        <w:t xml:space="preserve">בהיתר כאמור בתקנה 3 יצויינו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הקונה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מטרת השימוש;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כמות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פירוט המקומות שבהם ישתמש בתכשיר.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פתיון</w:t>
                </w:r>
              </w:p>
            </w:txbxContent>
          </v:textbox>
        </v:rect>
      </w:pict>
      <w:r>
        <w:rPr>
          <w:lang w:bidi="he-IL"/>
          <w:rFonts w:hint="cs" w:cs="FrankRuehl"/>
          <w:szCs w:val="34"/>
          <w:rtl/>
        </w:rPr>
        <w:t xml:space="preserve">5.</w:t>
      </w:r>
      <w:r>
        <w:rPr>
          <w:lang w:bidi="he-IL"/>
          <w:rFonts w:hint="cs" w:cs="FrankRuehl"/>
          <w:szCs w:val="26"/>
          <w:rtl/>
        </w:rPr>
        <w:tab/>
        <w:t xml:space="preserve">לא יפזר אדם פתיון אלא בחצר המשק או בשטחים חקלאיים ובאופן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בחצר המשק יפוזר הפתיון להדברת מכרסמים וציפורים מזיקות, הפתיון יונח על גבי מגשים, שקיות נילון, משטחי בטון או משטחים נקיים אחרים המאפשרים איסוף הפתיון;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בשטחים חקלאיים יפוזר הפתיון להדברת ציפורים מזיקות בלבד ובכמות שלא תעלה על 1000 גרם לדונם; הגרעינים יפוזרו בצורה אחידה על פני השטח ולא בערימות;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פתיונות פירות יש להניח על מגשים מעל לנוף הצמחים ובגובה של לא פחות מ-1.70 מטר מעל פני הקרקע.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שלט אזהרה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בעת פיזור הפתיונות יש להציג במקומות שצוינו בתקנה 5 שלט אזהרה שיהיה בצורה, בנוסח ובגודל שנקבע בתוספת לתקנות הגנת הצומח (שימוש בפלורואצטאמיד), תשכ"ח-1967.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שלט האזהרה לא יוסר מהשטח, אלא לאחר איסוף הכלים או המגשים שבהם השתמשו לפיזור ולא לפני תום עשרים ואחד ימים מיום פיזור הפתיון.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יפזר אדם פתיונות אלא בהתאם לאמור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יפזר אדם פתיונות במקומות המשמשים מעבר לבני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יערים אדם פתיונות בערמות אלא על פי היתר בכתב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פתיונות גרעינים יהיו צבועים בצבע תכלת בהיר כאזהרה.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החסנה</w:t>
                </w:r>
              </w:p>
            </w:txbxContent>
          </v:textbox>
        </v:rect>
      </w:pict>
      <w:r>
        <w:rPr>
          <w:lang w:bidi="he-IL"/>
          <w:rFonts w:hint="cs" w:cs="FrankRuehl"/>
          <w:szCs w:val="34"/>
          <w:rtl/>
        </w:rPr>
        <w:t xml:space="preserve">8.</w:t>
      </w:r>
      <w:r>
        <w:rPr>
          <w:lang w:bidi="he-IL"/>
          <w:rFonts w:hint="cs" w:cs="FrankRuehl"/>
          <w:szCs w:val="26"/>
          <w:rtl/>
        </w:rPr>
        <w:tab/>
        <w:t xml:space="preserve">לא יחזיק אדם מלאי של תכשיר או פתיון אלא במחסן בארון המיועד להחסנת חמרים רעילים בלבד, הסגור מכל צדדיו, נעול על מסגר, ומוגן בפני כל מגע אדם ובעלי-חיים; המחסין תכשיר או פתיון יציב במקום ההחסנה שלט אזהרה מתאים, במקום נראה לעין ושעליו מסומנים בצבע אדום גולגולת ושתי עצמות מצטלבות וכן המלים "סכנה רעל".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אריזת תכשירים וסימונם</w:t>
                </w:r>
              </w:p>
            </w:txbxContent>
          </v:textbox>
        </v:rect>
      </w:pict>
      <w:r>
        <w:rPr>
          <w:lang w:bidi="he-IL"/>
          <w:rFonts w:hint="cs" w:cs="FrankRuehl"/>
          <w:szCs w:val="34"/>
          <w:rtl/>
        </w:rPr>
        <w:t xml:space="preserve">9.</w:t>
      </w:r>
      <w:r>
        <w:rPr>
          <w:lang w:bidi="he-IL"/>
          <w:rFonts w:hint="cs" w:cs="FrankRuehl"/>
          <w:szCs w:val="26"/>
          <w:rtl/>
        </w:rPr>
        <w:tab/>
        <w:t xml:space="preserve">תכשיר לא יימכר אלא באריזות סגורות שעליהן מודבקת תווית שבה מצויינים דרכי השימוש ואמצעי הזהירות.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מיוחד לגבי חיות בר</w:t>
                </w:r>
              </w:p>
            </w:txbxContent>
          </v:textbox>
        </v:rect>
      </w:pict>
      <w:r>
        <w:rPr>
          <w:lang w:bidi="he-IL"/>
          <w:rFonts w:hint="cs" w:cs="FrankRuehl"/>
          <w:szCs w:val="34"/>
          <w:rtl/>
        </w:rPr>
        <w:t xml:space="preserve">10.</w:t>
      </w:r>
      <w:r>
        <w:rPr>
          <w:lang w:bidi="he-IL"/>
          <w:rFonts w:hint="cs" w:cs="FrankRuehl"/>
          <w:szCs w:val="26"/>
          <w:rtl/>
        </w:rPr>
        <w:tab/>
        <w:t xml:space="preserve">על אף האמור בתקנות 5 ו-7 רשאי המנהל, במקרה מתאים, לתת למדביר היתר מיוחד לפיזור פתיון אף להדברת חיות בר, וזאת בתנאים שקבע המנהל.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ביום העשירי לאחר פרסומן.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לתקנות אלה ייקרא "תקנות הגנת הצומח (שימוש באלפא כלורלוז),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אהרן אוזן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(שימוש באלפא כלורלוז), תשל"ו-1976,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36072b3a4f8456f" /><Relationship Type="http://schemas.openxmlformats.org/officeDocument/2006/relationships/header" Target="/word/header1.xml" Id="r97" /><Relationship Type="http://schemas.openxmlformats.org/officeDocument/2006/relationships/footer" Target="/word/footer1.xml" Id="r98" /></Relationships>
</file>