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b3171734843443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(שימוש בפרתיון), תשל"ב-1971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תכשיר לפי 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תכשיר לפי 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תכשיר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לבוש מגן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החסנה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ריסוס ליד מקומות מגורים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שלט אזהרה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הגנת הצומח (שימוש בפרתיון), תשל"ב-1971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 ו-8 לחוק הגנת הצומח,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 תערובת של חמרים כימיים המכילה כחומר פעיל אתיל פרתיון;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האגף להגנת הצומח במשרד החקלאות או מי שהוא הסמיך לענין תקנות אלה, כולן או מקצתן.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תכשיר לפי רשיון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יפעיל אדם תכשיר להדברת נגעים אלא או ניתן לו רשיון הפעלה מאת המנהל (להלן –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המפעיל תכשיר להדברת נגעים ישא עמו את הרשיון ויראהו למפקח על הצמח שנתמנה לפי סעיף 10 לחוק בכל עת שידרוש.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זו לא תחול על מי שמפעיל תכשיר כעוזרו של אדם שניתן לו רשיון ובנוכחותו.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בעד מתן רשיון תשולם אגרה של 36.5 שקלים חדשים.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תכשיר לפי היתר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יקנה אדם תכשיר אלא לפי היתר בכתב מאת המנהל (להלן –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יתן המנהל היתר אלא לאחר שהוכח להנחת דעתו כי יש ערובה מספיקה לכיסוי נזק כלשהו לבריאות בני אדם ובעלי חיים העלול להיגרם בעקבות השימוש בתכשיר.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בהיתר הרכישה יצויינו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הקונה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כמות התכשיר;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מטרת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שם המשק שבו ישתמשו בתכשיר.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ירסס אדם שדה בתכשיר אלא למטרה שצויינה בהיתר.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תכשיר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יעסוק אדם במכירת תכשיר אלא אם ניתן לו רשיון בהתאם לתקנה 22 לתקנות הגנת הצומח (הסדר מכירת תכשירים כימיים), 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ימכור אדם תכשיר אלא למי שמסר לו היתר; המוכר ישמור על ההיתר לצרכי ביקורת המנהל במשך שנתיים לפחות מיום המכירה.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לבוש מגן</w:t>
                </w:r>
              </w:p>
            </w:txbxContent>
          </v:textbox>
        </v:rect>
      </w:pict>
      <w:r>
        <w:rPr>
          <w:lang w:bidi="he-IL"/>
          <w:rFonts w:hint="cs" w:cs="FrankRuehl"/>
          <w:szCs w:val="34"/>
          <w:rtl/>
        </w:rPr>
        <w:t xml:space="preserve">5.</w:t>
      </w:r>
      <w:r>
        <w:rPr>
          <w:lang w:bidi="he-IL"/>
          <w:rFonts w:hint="cs" w:cs="FrankRuehl"/>
          <w:szCs w:val="26"/>
          <w:rtl/>
        </w:rPr>
        <w:tab/>
        <w:t xml:space="preserve">לא יפעיל אדם תכשיר להדברת נגעים אלא אם הוא לבוש בגד מגן וכפפות ועיניו מוגנות במשקפיים או מגן פנים שקוף, המונעים מגע ישיר בין גופו לבין התכשיר.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החסנה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יחזיק אדם מלאי של תכשיר אלא במחסן או בארון המיועדים אך ורק להחסנת חמרים רעילים, הסגורים על מסגר והמוגנים בפני מגע עם בני אדם או בעלי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המחסין מלאי של תכשיר יציג שלט אזהרה מתאים על יד מקום ההחסנה, במקום הנראה לעין.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ריסוס ליד מקומות מגורים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ירסס אדם מן האוויר בתכשיר, ולא יסייע ולא יגרום לריסוס כאמור, ברדיוס של 120 מטרים מבית המשמש כמקום מגורים, בית ספר או גן ילדים או מכל מקום אחר המשמש כבית ועד לבני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ירסס אדם מן הקרקע בתכשיר, ולא יסייע ולא יגרום לריסוס כאמור, ברדיוס של 50 מטרים מהמקומות שצויינו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ירסס אדם מן הקרקע בתכשיר באמצעות מרסס מפוח כשמוצא הנוזל מופנה כלפי מעלה, ולא יסייע ולא יגרום לריסוס כאמור.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שלט אזהרה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ריסס אדם שטח מסויים בתכשיר, יציג במקומות שצויינו בתוספת שלט אזהרה שיהיה בנוסח ובגודל שנקבעו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שלט אזהרה לא יוסר אלא כתום חמישה ימים לאחר הריסוס.</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הגנת הצומח (שימוש בתכשיר פרתיון ופתיונות מורעלים בגפרת התליום וסטריכנין), 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הגנת הצומח (מכירת תכשירי פרתיון), תשכ"א-1960.</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10.</w:t>
      </w:r>
      <w:r>
        <w:rPr>
          <w:lang w:bidi="he-IL"/>
          <w:rFonts w:hint="cs" w:cs="FrankRuehl"/>
          <w:szCs w:val="26"/>
          <w:rtl/>
        </w:rPr>
        <w:tab/>
        <w:t xml:space="preserve">לתקנות אלה ייקרא "תקנות הגנת הצומח (שימוש בפרתיון), תשל"ב-1971".</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8)</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a2e1578b77144c8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2.</w:t>
      </w:r>
      <w:r>
        <w:rPr>
          <w:lang w:bidi="he-IL"/>
          <w:rFonts w:hint="cs" w:cs="FrankRuehl"/>
          <w:szCs w:val="26"/>
          <w:rtl/>
        </w:rPr>
        <w:tab/>
        <w:t xml:space="preserve">שלט אזהרה בשדה יהיה בגודל 70x10 ס"מ, עשוי פח במסגרת עץ, כתוב בצבע אדום על רקע לבן, כשאותיות המלה "סכנה" הן בגודל של 8 ס"מ והגולגולת היא בגודל של 15x20 ס"מ, והוא יוצג במקום הנראה לעין ובגובה של לא פחות ממטר אחד מעל פני הקרקע.</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3.</w:t>
      </w:r>
      <w:r>
        <w:rPr>
          <w:lang w:bidi="he-IL"/>
          <w:rFonts w:hint="cs" w:cs="FrankRuehl"/>
          <w:szCs w:val="26"/>
          <w:rtl/>
        </w:rPr>
        <w:tab/>
        <w:t xml:space="preserve">שלט אזהרה במיתקן יהיה בגודל 20x30 ס"מ, עשוי פח במסגרת עץ, כתוב בצבע אדום על רקע לבן, כשאותיות המלה "סכנה" הן בגודל של 4 ס"מ והגולגולת היא בגודל של 7x10 ס"מ, והוא יוצג על מיתקן, מכל, בנין או מבנה במקום הנראה לעין.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גבתי</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(שימוש בפרתיון), תשל"ב-1971, נוסח עדכני נכון ליום 23.05.2023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84797069a5645a5" /><Relationship Type="http://schemas.openxmlformats.org/officeDocument/2006/relationships/hyperlink" Target="https://www.nevo.co.il/laws/#/623317414b10a9188f7494d0/clause/623319a14b10a9188f74956c" TargetMode="External" Id="Ra2e1578b77144c82" /><Relationship Type="http://schemas.openxmlformats.org/officeDocument/2006/relationships/header" Target="/word/header1.xml" Id="r97" /><Relationship Type="http://schemas.openxmlformats.org/officeDocument/2006/relationships/footer" Target="/word/footer1.xml" Id="r98" /></Relationships>
</file>