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3be65413d4943c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הדיור המוגן (טופס מסמך גילוי),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מסמך גילוי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הדיור המוגן (טופס מסמך גילוי),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 ו-54(א) לחוק הדיור המוגן, התשע"ב-2012 (להלן – החוק), ובהתייעצות עם השרה לשוויון חברתי,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מסמך גילוי</w:t>
                </w:r>
              </w:p>
            </w:txbxContent>
          </v:textbox>
        </v:rect>
      </w:pict>
      <w:r>
        <w:rPr>
          <w:lang w:bidi="he-IL"/>
          <w:rFonts w:hint="cs" w:cs="FrankRuehl"/>
          <w:szCs w:val="34"/>
          <w:rtl/>
        </w:rPr>
        <w:t xml:space="preserve">1.</w:t>
      </w:r>
      <w:r>
        <w:rPr>
          <w:lang w:bidi="he-IL"/>
          <w:rFonts w:hint="cs" w:cs="FrankRuehl"/>
          <w:szCs w:val="26"/>
          <w:rtl/>
        </w:rPr>
        <w:tab/>
        <w:t xml:space="preserve">מסמך גילוי ייערך לפי הטופס המובא 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תחילתן של תקנות אלה 45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3.</w:t>
      </w:r>
      <w:r>
        <w:rPr>
          <w:lang w:bidi="he-IL"/>
          <w:rFonts w:hint="cs" w:cs="FrankRuehl"/>
          <w:szCs w:val="26"/>
          <w:rtl/>
        </w:rPr>
        <w:tab/>
        <w:t xml:space="preserve">לעניין טופס מסמך גילוי שמוסר מפעיל בית דיור מוגן שהיה קיים ערב תחילתן של תקנות אלה ואשר טרם קיבל רישיון הפעלה בהתאם לחוק, בכל מקום בו, במקום "בעל הרישיון" או "בעל הרישיון להפעלת בית הדיור המוגן" ייקרא "מפעיל בית הדיור המוגן" וסעיפים 1(ב) ו-2 בו לא ימולאו.</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44880c9da254449">
        <w:r>
          <w:rPr>
            <w:rStyle w:val="Hyperlink"/>
            <w:u w:val="single"/>
            <w:color w:themeColor="hyperlink"/>
          </w:rPr>
          <w:t>מסמך גילוי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חיים כץ</w:t>
                </w:r>
              </w:p>
              <w:p>
                <w:pPr>
                  <w:bidi/>
                  <w:spacing w:before="45" w:after="3" w:line="250" w:lineRule="auto"/>
                  <w:jc w:val="center"/>
                </w:pPr>
                <w:defaultTabStop w:val="720"/>
                <w:r>
                  <w:rPr>
                    <w:lang w:bidi="he-IL"/>
                    <w:rFonts w:hint="cs" w:cs="FrankRuehl"/>
                    <w:szCs w:val="22"/>
                    <w:rtl/>
                  </w:rPr>
                  <w:t xml:space="preserve">שר העבודה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הדיור המוגן (טופס מסמך גילוי),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ac4d2786a2a4e00" /><Relationship Type="http://schemas.openxmlformats.org/officeDocument/2006/relationships/hyperlink" Target="https://www.nevo.co.il/lawattachments/60a3bfcee0cb4dd440e96faf/0b3a72d1-2d2f-4745-939b-6eabf3397f39.doc" TargetMode="External" Id="Rb44880c9da254449" /><Relationship Type="http://schemas.openxmlformats.org/officeDocument/2006/relationships/header" Target="/word/header1.xml" Id="r97" /><Relationship Type="http://schemas.openxmlformats.org/officeDocument/2006/relationships/footer" Target="/word/footer1.xml" Id="r98" /></Relationships>
</file>