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622def49f5461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הדיינים (החזרת פיקדונות בבתי דין רבניים),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פיקדונות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הדיינים (החזרת פיקדונות בבתי דין רבניים),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27 לחוק הדיינים, התשט"ו-1955, ושאר סמכויותי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רבני" – כמשמעותו בחוק שיפוט בתי דין רבניים (נישואין וגירושין),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תוספת לסכום שיש להחזירו לפי תקנות אלה, לפי שיעור העליה של המדד, מן המדד שפורסם סמוך לפני יום ההפקדה ועד המדד שפורסם סמוך לפני יום התשלום בפועל;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"זכאי" – אדם שלשם הבטחת תשלום שיגיע לו הופקד פיקדון, או האדם שהפקיד את הפיקדון,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מדי פעם בפעם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"מפקיד" – אדם שהפקיד פיקדון;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"פיקדון" – פיקדון, עירבון, ערובה או ערבות, שהופקדו לפי הוראת בית הדין הרבני.</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פיקדונות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הופקד סכום כסף כפיקדון בקופת בית הדין או בחשבון בנק הדואר של המשרד לעניני דתות ובית הדין ציווה לשלמו, כולו או מקצתו לזכאי, או שהגיע המועד שבו קמה למפקיד או לזכאי הזכות לדרוש את יתרת סכום הפיקדון (להלן – היתרה) לזכאי או למפקיד, תשולם היתרה לזכאי או למפקיד בצירוף הפרשי הצמדה לתקופה שמיום ההפקדה עד יום תשלומה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יתרה ששולמה בתוך שלושה חודשים מיום הפקדתה לא ייווספו עליה הפרשי הצמדה.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התשלום</w:t>
                </w:r>
              </w:p>
            </w:txbxContent>
          </v:textbox>
        </v:rect>
      </w:pict>
      <w:r>
        <w:rPr>
          <w:lang w:bidi="he-IL"/>
          <w:rFonts w:hint="cs" w:cs="FrankRuehl"/>
          <w:szCs w:val="34"/>
          <w:rtl/>
        </w:rPr>
        <w:t xml:space="preserve">3.</w:t>
      </w:r>
      <w:r>
        <w:rPr>
          <w:lang w:bidi="he-IL"/>
          <w:rFonts w:hint="cs" w:cs="FrankRuehl"/>
          <w:szCs w:val="26"/>
          <w:rtl/>
        </w:rPr>
        <w:tab/>
        <w:t xml:space="preserve">היתרה תשולם לזכאי או למפקיד בשיק או בהעברה בנקאית לחשבונו של הזכאי או המפקיד והתאריך המופיע על גבי השיק או תאריך ההעברה ייחשב כיום תשלום היתרה בפועל.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בתי הדין הרבניים (החזרת פקדונות וקנסות), התשמ"ו-1985 – בטלות.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השר לעניני 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הדיינים (החזרת פיקדונות בבתי דין רבניים),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cde6ec62cc54c48" /><Relationship Type="http://schemas.openxmlformats.org/officeDocument/2006/relationships/header" Target="/word/header1.xml" Id="r97" /><Relationship Type="http://schemas.openxmlformats.org/officeDocument/2006/relationships/footer" Target="/word/footer1.xml" Id="r98" /></Relationships>
</file>