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a7546af466b40d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(הודעה ומודעה על אסיפה כללית ואסיפת סוג בחברה ציבורית והוספת נושא לסדר היום),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מסירת הודעה ופרסום מודעה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פרסום המודעה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ההודעה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המודעה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המודעה</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דין אחר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לכלול נושא בסדר היום</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סדר יום מעודכן</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תקנות 5א ו-5ב – הודעה מקדימה</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לכלול בסדר היום הצעת מועמד לכהונה כדירקטור</w:t>
                </w:r>
              </w:p>
            </w:tc>
            <w:tc>
              <w:tcPr>
                <w:tcW w:w="800" w:type="pct"/>
              </w:tcPr>
              <w:p>
                <w:pPr>
                  <w:bidi/>
                  <w:spacing w:before="45" w:after="5" w:line="250" w:lineRule="auto"/>
                </w:pPr>
                <w:defaultTabStop w:val="720"/>
                <w:r>
                  <w:rPr>
                    <w:lang w:bidi="he-IL"/>
                    <w:rFonts w:hint="cs" w:cs="Times New Roman"/>
                    <w:szCs w:val="24"/>
                    <w:rtl/>
                  </w:rPr>
                  <w:t xml:space="preserve">סעיף 5ד</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החברות (הודעה ומודעה על אסיפה כללית ואסיפת סוג בחברה ציבורית והוספת נושא לסדר היום),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66(ב), 69, 75 ו-366 לחוק החברות, התשנ"ט-1999 (להלן – החוק), לאחר 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"אסיפה כללית" – לרבות אסיפת סוג;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בעלות" – כהגדרתו בסעיף 71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הפצה" – כהגדרתו בתקנות ניירות ערך (חתימה ודיווח אלקטרוני), התשס"ג-2003;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 הודעה לבעל המניות על אסיפה כללית בחברה ציבורית כמפורט בתקנה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"מודעה" – מודעה על אסיפה כללית בחברה ציבורית כמפורט בתקנה 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עמדה" – כמשמעותה בסעיף 88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הצבעה" – כהגדרתו בסעיף 87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הצבעה בכתב" – תקנות החברות (הצבעה בכתב והודעות עמדה), התשס"ו-2005;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"מניות" – מניות המקנות זכות הצבעה באסיפה הכללית של החברה או באסיפת סוג.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ההצבעה האלקטרונית" – המערכת הפועלת לפי סימן ב' לפרק ז'2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הדוחות" – תקנות ניירות ערך (דוחות תקופתיים ומיידיים), התש"ל-1970.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מסירת הודעה ופרסום מודעה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מודעה תפורסם עשרים ואחד ימים לפחות לפני כינוס האסיפה הכללית.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הודעה תימסר לכל בעל מניה הרשום במרשם בעלי המניות, עשרים ואחד ימים לפחות, לפני כינוס האסיפה הכללית אלא אם כן נקבע בתקנון מועד אחר או נקבע שלא תימסר 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על אף האמור בתקנת משנה (א) ו-(א1), מודעה על אסיפה כללית שעל סדר יומה נושא מן הנושאים לפי תקנה 2(א) לתקנות הצבעה בכתב, תפורסם 35 ימים לפחות לפני כינוס האסיפה הכללית וההודעה תימסר, אם יש חובת מסירה לפי תקנת משנה (א1), 35 ימים לפחות לפני כינוס 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בחברה אשר בתקנונה נקבע כי לא תימסר הודעה כאמור בתקנת משנה (א1), ובסדר יומה של האסיפה הכללית לא כלול נושא מן הנושאים לפי תקנה 2(א) לתקנות הצבעה בכתב, ניתן לפרסם את המודעה עד ארבעה עשר ימים לפחות לפני כינוס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המודעה תפורסם וההודעה תימסר, אם יש חובת מסירה לפי תקנת משנה (א1), שני ימים לפחות לפני המועד הקובע כמשמעותו בסעיף 182(ב) לחוק (להלן – המועד הקובע); הודעה ומודעה על אסיפה כללית שעל סדר יומה נושא מן הנושאים לפי תקנה 2(א) לתקנות הצבעה בכתב, תפורסם או תימסר, אם יש חובת מסירה לפי תקנת משנה (א1), חמישה ימים לפחות, לפני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תפורסם על ידי חברה שאינה מדווחת לפי תקנות הדוחות גם באופן שבו מפרסמת החברה דיווחים לבעלי מניותיה לפי דין מדינת החוץ; ואולם אם נכללו בדיווחיה לפי דין מדינת החוץ הפרטים הנדרשים לפי תקנה 4, בשינויים המחויבים, לא תהיה חייבת בפרסום לפי תקנת משנה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הנושא שעל סדר יומה של האסיפה הכללית טעון אישור של הדירקטוריון קודם לאישור האסיפה הכללית, המודעה תפורסם וההודעה תימסר לא יאוחר מ-90 ימים לאחר מועד אישור הדירקטוריון כאמור, אלא אם כן נקבע מועד קרוב יותר לכך על פי דין.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פרסום המודעה</w:t>
                </w:r>
              </w:p>
            </w:txbxContent>
          </v:textbox>
        </v:rect>
      </w:pict>
      <w:r>
        <w:rPr>
          <w:lang w:bidi="he-IL"/>
          <w:rFonts w:hint="cs" w:cs="FrankRuehl"/>
          <w:szCs w:val="34"/>
          <w:rtl/>
        </w:rPr>
        <w:t xml:space="preserve">3.</w:t>
      </w:r>
      <w:r>
        <w:rPr>
          <w:lang w:bidi="he-IL"/>
          <w:rFonts w:hint="cs" w:cs="FrankRuehl"/>
          <w:szCs w:val="26"/>
          <w:rtl/>
        </w:rPr>
        <w:tab/>
        <w:t xml:space="preserve">המודעה תפורסם בשני עיתונים יומיים לפחות, בעלי תפוצה רחבה, היוצאים לאור בשפה העברית או באתר האינטרנט של החברה.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ההודעה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בהודעה יצוין סוג האסיפה, מקום כינוס האסיפה ומועדה, פירוט הנושאים שעל סדר היום, תמצית ההחלטות המוצעות, הרוב הנדרש לקבלת ההחלטות, זכותו של בעל מניה להצביע באמצעות כתב הצבעה שיועבר במערכת ההצבעה האלקטרונית, המועד האחרון להמצאת בקשה לכלול נושא בסדר היום, אם הוגשה בקשה לפי תקנה 5א – האפשרות כי נושאים ייווספו לסדר היום ופרטיהם יופיעו באתר ההפצה, וכן המועד לקביעת זכאות כל בעלי המניות להצביע באסיפה הכללית, כאמור בסעיף 182 לחוק; קבעה החברה כי אסיפה נדחית תיערך במועד מאוחר מן הקבוע בסעיף 78(ב) לחוק, תציין את אותו המועד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תכלול את מספר הטלפון וכתובת משרדה הרשום של החברה והמועדים שבהם ניתן לעיין בנוסח המלא של ההחלטות המוצעות; החברה רשאית להוסיף בה מקומות נוספים לעיון כאמור ובכלל זה גם כתובת אתר 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בהודעה על אסיפה כללית בחברה ציבורית אשר על סדר יומה נושא מן הנושאים לפי תקנה 2(א) לתקנות הצבעה בכתב, תציין החברה גם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כתובת אתר ההפצה ואתר האינטרנט של הבורסה לניירות ערך בתל אביב בע"מ, שבהם ניתן למצוא את נוסח כתב ההצבעה והודעות העמדה כמשמעותן בסעיף 88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ההצבעה תיעשה על גבי החלק השני של כתב ההצבעה כפי שפורסם באתר ההפצה;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בעל מניות רשאי לפנות ישירות לחברה ולקבל ממנה את נוסח כתב ההצבעה והודעות העמדה;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 חבר הבורסה ישלח, בלא תמורה, בדואר אלקטרוני, קישורית לנוסח כתב ההצבעה וכתבי העמדה, באתר ההפצה, לכל בעל מניות שאיננו רשום במרשם בעלי המניות ואשר מניותיו רשומות אצל אותו חבר בורסה, אלא אם כן הודיע בעל המניות כי אינו מעוניין בכך, ובלבד שההודעה ניתנה לגבי חשבון ניירות ערך מסוים ובמועד קודם למועד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כי בעל מניות שמניותיו רשומות אצל חבר בורסה, זכאי לקבל את אישור הבעלות מחבר הבורסה שבאמצעותו הוא מחזיק את מניותיו, בסניף של חבר הבורסה או בדואר אל מענו תמורת דמי משלוח בלבד, אם ביקש זאת, וכי בקשה לענין זה תינתן מראש לחשבון ניירות ערך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המועד האחרון להמצאת הודעות עמדה לחברה;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המועד האחרון להמצאת כתבי ההצבעה לחברה;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אסיפה שנתית של חברה ציבורית שאינה מדווחת לפי תקנות הדוחות תכלול בגוף ההודעה או במסמך פומבי הנלווה אליה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מלא ועל בסיס אישי של תנאי הכהונה וההעסקה, לפי רכיביהם השונים, שקיבלו בפועל חמשת מקבלי התגמול הגבוה ביותר מבין נושאי המשרה בחברה (להלן – נושאי המשרה), בשנה שלגביה נערכו הדוחות הכספיים השנתיים הנדונים באסיפה;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 הכהונה וההעסקה של נושאי המשרה האמורים בפסקה (1) יפורטו על פי רכיביהם השונים, בהתאם להכרה בהם בדוחות הכספיים השנתיים האמורים; בפירוט תהיה הפרדה בין רכיבי התגמול השונים; ואולם רשאית החברה להפנות לדיווחים שלה לפי דין המדינה שבה רשומות מניותיה למסחר אשר נכללים בהם הנתונים האמורים באותה מתכונת.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המודעה</w:t>
                </w:r>
              </w:p>
            </w:txbxContent>
          </v:textbox>
        </v:rect>
      </w:pict>
      <w:r>
        <w:rPr>
          <w:lang w:bidi="he-IL"/>
          <w:rFonts w:hint="cs" w:cs="FrankRuehl"/>
          <w:szCs w:val="34"/>
          <w:rtl/>
        </w:rPr>
        <w:t xml:space="preserve">4א.</w:t>
      </w:r>
      <w:r>
        <w:rPr>
          <w:lang w:bidi="he-IL"/>
          <w:rFonts w:hint="cs" w:cs="FrankRuehl"/>
          <w:szCs w:val="26"/>
          <w:rtl/>
        </w:rPr>
        <w:tab/>
        <w:t xml:space="preserve">במודעה תציין החברה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 האסיפה, מקום כינוס האסיפה ומועדה, פירוט הנושאים שעל סדר היום, המועד לקביעת זכאות כל בעלי המניות להצביע באסיפה הכללית כאמור בסעיף 182 לחוק; קבעה החברה כי אסיפה נדחית תיערך במועד מאוחר מן הקבוע בסעיף 78(ב) לחוק, תציין את המועד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היא מודעה על אסיפה כללית בחברה ציבורית שעל סדר יומה נושא מן הנושאים המנויים בתקנה 2(א) לתקנות הצבעה בכתב, תציין החברה גם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המועד האחרון להמצאת הודעות עמדה;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המועד האחרון להמצאה כתבי הצבעה לחברה;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הפניה לדוח המיידי שהוגש לפי חוק ניירות ערך באתר ההפצה, שניתן למצוא בו מידע נוסף על האסיפה הכללית.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המודעה</w:t>
                </w:r>
              </w:p>
            </w:txbxContent>
          </v:textbox>
        </v:rect>
      </w:pict>
      <w:r>
        <w:rPr>
          <w:lang w:bidi="he-IL"/>
          <w:rFonts w:hint="cs" w:cs="FrankRuehl"/>
          <w:szCs w:val="34"/>
          <w:rtl/>
        </w:rPr>
        <w:t xml:space="preserve">4ב.</w:t>
      </w:r>
      <w:r>
        <w:rPr>
          <w:lang w:bidi="he-IL"/>
          <w:rFonts w:hint="cs" w:cs="FrankRuehl"/>
          <w:szCs w:val="26"/>
          <w:rtl/>
        </w:rPr>
        <w:tab/>
        <w:t xml:space="preserve">המודעה תהיה ברורה וקריאה; גודל הגופן במודעה לא יפחת מ-12, ומסגרתה, הכותרות והמועדים שבה יהיו מובלטים והמרווח בין השורות בה יהיה לפחות רווח בודד.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דין אחר</w:t>
                </w:r>
              </w:p>
            </w:txbxContent>
          </v:textbox>
        </v:rect>
      </w:pict>
      <w:r>
        <w:rPr>
          <w:lang w:bidi="he-IL"/>
          <w:rFonts w:hint="cs" w:cs="FrankRuehl"/>
          <w:szCs w:val="34"/>
          <w:rtl/>
        </w:rPr>
        <w:t xml:space="preserve">5.</w:t>
      </w:r>
      <w:r>
        <w:rPr>
          <w:lang w:bidi="he-IL"/>
          <w:rFonts w:hint="cs" w:cs="FrankRuehl"/>
          <w:szCs w:val="26"/>
          <w:rtl/>
        </w:rPr>
        <w:tab/>
        <w:t xml:space="preserve">נקבעו בדין אחר הוראות לענין תוכן ההודעה או המודעה שתפורסם לגבי אסיפה כללית בחברה ציבורית ואשר על סדר יומה נושא מסוים שנקבע באותו דין, יחולו הוראות הדין האחר על ההודעה.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לכלול נושא בסדר היום</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בקשה של בעל מניה לפי סעיף 66(ב) לחוק לכלול נושא בסדר היום של אסיפה כללית שחלה עליה תקנה 2(א2) תומצא לחברה עד שבעה ימים לאחר זימון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של בעל מניה לכלול נושא בסדר היום של אסיפה כללית אחרת תומצא לחברה עד שלושה ימים לאחר זימון האסיפה.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סדר יום מעודכן</w:t>
                </w:r>
              </w:p>
            </w:txbxContent>
          </v:textbox>
        </v:rect>
      </w:pict>
      <w:r>
        <w:rPr>
          <w:lang w:bidi="he-IL"/>
          <w:rFonts w:hint="cs" w:cs="FrankRuehl"/>
          <w:szCs w:val="34"/>
          <w:rtl/>
        </w:rPr>
        <w:t xml:space="preserve">5ב.</w:t>
      </w:r>
      <w:r>
        <w:rPr>
          <w:lang w:bidi="he-IL"/>
          <w:rFonts w:hint="cs" w:cs="FrankRuehl"/>
          <w:szCs w:val="26"/>
          <w:rtl/>
        </w:rPr>
        <w:tab/>
        <w:t xml:space="preserve">מצא הדירקטוריון כי נושא שהתבקש לכללו בסדר היום לפי תקנה 5א מתאים להיות נדון באסיפה הכללית, תכין החברה סדר יום מעודכן ותפרסם אותו לא יאוחר משבעה ימים אחרי המועד האחרון להמצאת בקשה לפי תקנה 5א, בדרכים האמורות בתקנה 2, ובלבד שאם פרסמה את סדר היום המעודכן באתר ההפצה, אינה חייבת בפרסום מודעה; אין בפרסום סדר היום המעודכן כדי לשנות את המועד הקובע כפי שנקבע בהודעה על זימון האסיפה.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תקנות 5א ו-5ב – הודעה מקדימה</w:t>
                </w:r>
              </w:p>
            </w:txbxContent>
          </v:textbox>
        </v:rect>
      </w:pict>
      <w:r>
        <w:rPr>
          <w:lang w:bidi="he-IL"/>
          <w:rFonts w:hint="cs" w:cs="FrankRuehl"/>
          <w:szCs w:val="34"/>
          <w:rtl/>
        </w:rPr>
        <w:t xml:space="preserve">5ג.</w:t>
        <w:tab/>
      </w:r>
      <w:r>
        <w:rPr>
          <w:lang w:bidi="he-IL"/>
          <w:rFonts w:hint="cs" w:cs="FrankRuehl"/>
          <w:szCs w:val="26"/>
          <w:rtl/>
        </w:rPr>
        <w:t xml:space="preserve">(א)</w:t>
      </w:r>
      <w:r>
        <w:rPr>
          <w:lang w:bidi="he-IL"/>
          <w:rFonts w:hint="cs" w:cs="FrankRuehl"/>
          <w:szCs w:val="26"/>
          <w:rtl/>
        </w:rPr>
        <w:tab/>
        <w:t xml:space="preserve">תקנות 5א ו-5ב לא יחולו על חברה שפרסמה הודעה מקדימה על כוונתה לכנס אסיפה כללית, 21 ימים לפחות לפני פרסום ההודעה על זימון אסיפה כללית (בתקנה זו – הודעה מקדימה); הודעה מקדימה תפורסם באופן שבו מתפרסמת הודעה על זימון אסיפה 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מקדימה יתוארו הנושאים הצפויים לעמוד על סדר היום של האסיפה הכללית וכן יצוין כי זכותו של בעל מניה לפי סעיף 66(ב) לחוק להציע נושא לסדר היום וכי החברה תהיה רשאית שלא לבחון הצעות שיתקבלו יותר מ-14 ימים לאחר פרסום ההודעה המקדימה.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לכלול בסדר היום הצעת מועמד לכהונה כדירקטור</w:t>
                </w:r>
              </w:p>
            </w:txbxContent>
          </v:textbox>
        </v:rect>
      </w:pict>
      <w:r>
        <w:rPr>
          <w:lang w:bidi="he-IL"/>
          <w:rFonts w:hint="cs" w:cs="FrankRuehl"/>
          <w:szCs w:val="34"/>
          <w:rtl/>
        </w:rPr>
        <w:t xml:space="preserve">5ד.</w:t>
      </w:r>
      <w:r>
        <w:rPr>
          <w:lang w:bidi="he-IL"/>
          <w:rFonts w:hint="cs" w:cs="FrankRuehl"/>
          <w:szCs w:val="26"/>
          <w:rtl/>
        </w:rPr>
        <w:tab/>
        <w:t xml:space="preserve">בקשה של בעל מניה לכלול בסדר היום של האסיפה כללית הצעת מועמד לכהונה כדירקטור לפי תקנה 5א או 5ג תכלול את הפרטים האמורים בתקנה 26 לתקנות הדוחות ותצורף אליה הצהרת המועמד לכהן כדירקטור לפי סעיף 224ב לחוק, ולפי העניין – גם הצהרה לפי סעיף 241 לחוק.</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כ"ה בשבט התש"ס (1 בפברואר 2000).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(הודעה ומודעה על אסיפה כללית ואסיפת סוג בחברה ציבורית והוספת נושא לסדר היום),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0c140cdc6ca4693" /><Relationship Type="http://schemas.openxmlformats.org/officeDocument/2006/relationships/header" Target="/word/header1.xml" Id="r97" /><Relationship Type="http://schemas.openxmlformats.org/officeDocument/2006/relationships/footer" Target="/word/footer1.xml" Id="r98" /></Relationships>
</file>