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99dcdf4054f4cc4"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החברות (הוראות לעניין מינוי חבר סגל אקדמי בחברה לתועלת הציבור שהיא מוסד להשכלה גבוהה לדירקטוריון החברה), תשע"ב-2012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עובד לדירקטוריון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טיפול</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תנאי העסקה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גמול נוסף</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6</w:t>
                </w:r>
              </w:p>
            </w:tc>
          </w:tr>
        </w:tbl>
        <w:br w:type="page"/>
      </w:r>
    </w:p>
    <w:p>
      <w:pPr>
        <w:bidi/>
        <w:spacing w:before="45" w:after="70" w:line="250" w:lineRule="auto"/>
        <w:jc w:val="center"/>
      </w:pPr>
      <w:defaultTabStop w:val="720"/>
      <w:r>
        <w:rPr>
          <w:lang w:bidi="he-IL"/>
          <w:rFonts w:hint="cs" w:cs="FrankRuehl"/>
          <w:szCs w:val="32"/>
          <w:rtl/>
        </w:rPr>
        <w:t xml:space="preserve">תקנות החברות (הוראות לעניין מינוי חבר סגל אקדמי בחברה לתועלת הציבור שהיא מוסד להשכלה גבוהה לדירקטוריון החברה), תשע"ב-2012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284, 345י ו-366 לחוק החברות, התשנ"ט-1999 (להלן – החוק), בהתייעצות עם רשות ניירות ערך ובאישור ועדת החוקה חוק ומשפט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הגדרה</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להשכלה גבוהה" או "מוסד" – חברה לתועלת הציבור שהיא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מוסד שהוכר לפי סעיף 9 לחוק המועצה להשכלה גבוהה, התשי"ח-1958 (להלן – חוק המועצה להשכלה גבוהה);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מוסד שקיבל תעודת היתר או אישור לפי סעיף 21א לחוק המועצה להשכלה גבוהה;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מוסד שהתואר שהוא מעניק הוכר לפי סעיף 28א לחוק המועצה להשכלה גבוהה.</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עובד לדירקטוריון</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ניתן למנות חבר סגל אקדמי המקבל שכר ממוסד להשכלה גבוהה (להלן – חבר סגל) לדירקטוריון של המוסד, ובלבד ששיעורם של חברי הסגל המכהנים בדירקטוריון לא יעלה על 20% מכלל הדירקטורים; ואולם לא ימונה לדירקטוריון חבר סגל אם הוא נושא גם בתפקיד ניהולי במוסד, לרבות דיקן, וכן לא ימונה חבר סגל המכהן בוועד, בארגון יציג או בנציגות של עובדי המוסד.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ניתן למנות את נשיא המוסד ואת המשנה לנשיא לעניינים אקדמיים או מי שמכהן בתפקיד מקביל לאלה אף אם תוארו שונה (להלן – הנשיא והמשנה לנשיא) לדירקטוריון של המוסד, וזאת נוסף על חברי הסגל שהתמנו לפי תקנת משנה (א), ובלבד ששיעורם של כלל חברי הדירקטוריון שמונו לפי תקנת משנה (א) ולפי תקנת משנה זו, לא יעלה על 25% מכלל הדירקטורים.</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טיפול</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מי שנתמנה לכהן בדירקטוריון של מוסד להשכלה גבוהה כאמור בתקנה 2, לא יטפל במסגרת תפקידו כדירקטור בעניינים הנוגעים לתנאי העסקתם של עובדים במוסד, לרבות שכרם, במישרין או בעקיפין, ולא ישתתף בדיוני הדירקטוריון, בדיוני ועדות הדירקטוריון או בדיונים מטעם הדירקטוריון בעניינים כאמור, למעט בדיונים הנוגעים לדוחות הכספיים של המוסד; ואולם הנשיא והמשנה לנשיא יהיו רשאים להשתתף בדיוני הדירקטוריון, ועדות הדירקטוריון או בדיונים מטעם הדירקטוריון לעניין תנאי העסקתם של עובדים במוסד, כאמור, למעט בעניינים הנוגעים, במישרין או בעקיפין, לתנאי ההעסקה שלהם וכן יהיו רשאים מתוקף תפקידם לטפל בעניינים כאמור; הכל בלי לגרוע מהוראות כל דין, ובכלל זה, מהאיסור על הימצאות במצב של ניגוד עניינים.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באמור בתקנת משנה (א) כדי למנוע מהדירקטוריון להזמין את חברי הסגל, לרבות הנשיא והמשנה לנשיא, להביע עמדה לפניו בנושאים שבתחום אחריותם, ובלבד שהדיון וההצבעה בנושא יתקיימו בלי נוכחותם.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תנאי העסקה</w:t>
                </w:r>
              </w:p>
            </w:txbxContent>
          </v:textbox>
        </v:rect>
      </w:pict>
      <w:r>
        <w:rPr>
          <w:lang w:bidi="he-IL"/>
          <w:rFonts w:hint="cs" w:cs="FrankRuehl"/>
          <w:szCs w:val="34"/>
          <w:rtl/>
        </w:rPr>
        <w:t xml:space="preserve">4.</w:t>
      </w:r>
      <w:r>
        <w:rPr>
          <w:lang w:bidi="he-IL"/>
          <w:rFonts w:hint="cs" w:cs="FrankRuehl"/>
          <w:szCs w:val="26"/>
          <w:rtl/>
        </w:rPr>
        <w:tab/>
        <w:t xml:space="preserve">שינויים בתנאי העסקתו, במישרין או בעקיפין, של חבר הסגל, לרבות הנשיא או המשנה לנשיא, במהלך כהונתו כדירקטור, יהיו טעונים גם אישור של ועדת הביקורת במוסד, אלא אם כן השינוי נקבע או אושר על ידי גורם חיצוני למוסד המוסמך על פי דין; הוראות הפרק החמישי בחלק השישי לחוק, כפי שהוחלו בסעיף 345יב לחוק, לא יחולו על אישור שינויים בתנאי ההעסקה כאמור; אין באמור בתקנה זו כדי לגרוע מסמכות או חובה הנתונות לפי כל דין לגורם חיצוני לקבוע את השינוי או לאשרו.</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גמול נוסף</w:t>
                </w:r>
              </w:p>
            </w:txbxContent>
          </v:textbox>
        </v:rect>
      </w:pict>
      <w:r>
        <w:rPr>
          <w:lang w:bidi="he-IL"/>
          <w:rFonts w:hint="cs" w:cs="FrankRuehl"/>
          <w:szCs w:val="34"/>
          <w:rtl/>
        </w:rPr>
        <w:t xml:space="preserve">5.</w:t>
      </w:r>
      <w:r>
        <w:rPr>
          <w:lang w:bidi="he-IL"/>
          <w:rFonts w:hint="cs" w:cs="FrankRuehl"/>
          <w:szCs w:val="26"/>
          <w:rtl/>
        </w:rPr>
        <w:tab/>
        <w:t xml:space="preserve">חבר הסגל, לרבות הנשיא או המשנה לנשיא, לא יהיה זכאי לגמול בשל השתתפות בישיבות הדירקטוריון, מעבר לשכרו כחבר סגל או עובד המוסד.</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6.</w:t>
      </w:r>
      <w:r>
        <w:rPr>
          <w:lang w:bidi="he-IL"/>
          <w:rFonts w:hint="cs" w:cs="FrankRuehl"/>
          <w:szCs w:val="26"/>
          <w:rtl/>
        </w:rPr>
        <w:tab/>
        <w:t xml:space="preserve">תחילתן של תקנות אלה – לגבי חברה לתועלת הציבור שבתקנונה היו קבועות ערב יום י"ט בסיוון התשע"א (21 ביוני 2011) הוראות לעניין דירקטור שהוא עובד או נותן שירותים בשכר – ביום האמור.</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נאמן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החברות (הוראות לעניין מינוי חבר סגל אקדמי בחברה לתועלת הציבור שהיא מוסד להשכלה גבוהה לדירקטוריון החברה), תשע"ב-2012,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eef3b02d9204632" /><Relationship Type="http://schemas.openxmlformats.org/officeDocument/2006/relationships/header" Target="/word/header1.xml" Id="r97" /><Relationship Type="http://schemas.openxmlformats.org/officeDocument/2006/relationships/footer" Target="/word/footer1.xml" Id="r98" /></Relationships>
</file>