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a2f638dc3c4c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(תחולה על חברה לתועלת הציבור שהיא חברה ממשלתית או חברת בת ממשלתית),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מטרות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ביקורת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דירקטורים וחברי ועדת ביקורת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הוראות מהחוק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במסגרת הפרטה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מרצון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החברות (תחולה על חברה לתועלת הציבור שהיא חברה ממשלתית או חברת בת ממשלתית),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345לב לחוק החברות, התשנ"ט-1999 (להלן – החוק),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"החלטת הפרטה" – כהגדרתה בחוק החברות הממשלתיות;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השרים" – כהגדרתה בחוק החברות הממשלתיות;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ממשלתית לתועלת הציבור" – חברה כהגדרתה בסעיף 345לב לחוק והמנויה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הממשלתיות" – חוק החברות הממשלתיות, התשל"ה-1975.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מטרות</w:t>
                </w:r>
              </w:p>
            </w:txbxContent>
          </v:textbox>
        </v:rect>
      </w:pict>
      <w:r>
        <w:rPr>
          <w:lang w:bidi="he-IL"/>
          <w:rFonts w:hint="cs" w:cs="FrankRuehl"/>
          <w:szCs w:val="34"/>
          <w:rtl/>
        </w:rPr>
        <w:t xml:space="preserve">2.</w:t>
      </w:r>
      <w:r>
        <w:rPr>
          <w:lang w:bidi="he-IL"/>
          <w:rFonts w:hint="cs" w:cs="FrankRuehl"/>
          <w:szCs w:val="26"/>
          <w:rtl/>
        </w:rPr>
        <w:tab/>
        <w:t xml:space="preserve">סעיף 345ה(ג) עד (ו) לחוק לא יחול על חברה ממשלתית לתועלת הציבור, ובלבד שהממשלה לא תשנה את מטרותיה של חברה ממשלתית לתועלת הציבור, אלא בהחלטה מנומקת, לאחר ששוכנעה כי בנסיבות העניין צודק ונכון לעשות כן, בשים לב למטרות החברה ולפעילותה לפני השינוי, ולאחר שמיעת עמדת היועץ המשפטי לממשלה; החברה האמורה תשלח הודעה על שינוי המטרות לפי סעיף 21(ב) לחוק גם לרשם ההקדשות.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ביקורת</w:t>
                </w:r>
              </w:p>
            </w:txbxContent>
          </v:textbox>
        </v:rect>
      </w:pict>
      <w:r>
        <w:rPr>
          <w:lang w:bidi="he-IL"/>
          <w:rFonts w:hint="cs" w:cs="FrankRuehl"/>
          <w:szCs w:val="34"/>
          <w:rtl/>
        </w:rPr>
        <w:t xml:space="preserve">3.</w:t>
      </w:r>
      <w:r>
        <w:rPr>
          <w:lang w:bidi="he-IL"/>
          <w:rFonts w:hint="cs" w:cs="FrankRuehl"/>
          <w:szCs w:val="26"/>
          <w:rtl/>
        </w:rPr>
        <w:tab/>
        <w:t xml:space="preserve">סעיף 345ח לחוק, למעט סעיפים קטנים (ה) עד (ז) לא יחול על חברה ממשלתית לתועלת הציבור.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דירקטורים וחברי ועדת ביקורת</w:t>
                </w:r>
              </w:p>
            </w:txbxContent>
          </v:textbox>
        </v:rect>
      </w:pict>
      <w:r>
        <w:rPr>
          <w:lang w:bidi="he-IL"/>
          <w:rFonts w:hint="cs" w:cs="FrankRuehl"/>
          <w:szCs w:val="34"/>
          <w:rtl/>
        </w:rPr>
        <w:t xml:space="preserve">4.</w:t>
      </w:r>
      <w:r>
        <w:rPr>
          <w:lang w:bidi="he-IL"/>
          <w:rFonts w:hint="cs" w:cs="FrankRuehl"/>
          <w:szCs w:val="26"/>
          <w:rtl/>
        </w:rPr>
        <w:tab/>
        <w:t xml:space="preserve">סעיף 345י לא יחול על חברה ממשלתית לתועלת הציבור, ואולם דירקטור או חבר ועדת ביקורת, וכן תאגיד בשליטת מי מאלה, לא ייתן, במישרין או בעקיפין, שירותים בשכר לחברה ממשלתית לתועלת הציבור שלא כדירקטור או חבר ועדת ביקורת, לפי העניין; בתקנה זו, "שליטה" – כמשמעותה בסעיף 345י(א)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חוקר</w:t>
                </w:r>
              </w:p>
            </w:txbxContent>
          </v:textbox>
        </v:rect>
      </w:pict>
      <w:r>
        <w:rPr>
          <w:lang w:bidi="he-IL"/>
          <w:rFonts w:hint="cs" w:cs="FrankRuehl"/>
          <w:szCs w:val="34"/>
          <w:rtl/>
        </w:rPr>
        <w:t xml:space="preserve">5.</w:t>
      </w:r>
      <w:r>
        <w:rPr>
          <w:lang w:bidi="he-IL"/>
          <w:rFonts w:hint="cs" w:cs="FrankRuehl"/>
          <w:szCs w:val="26"/>
          <w:rtl/>
        </w:rPr>
        <w:tab/>
        <w:t xml:space="preserve">סעיף 345יח לחוק יחול על חברה ממשלתית לתועלת הציבור, ואולם בכל מקום, במקום "רשם ההקדשות" יקראו "מנהל רשות החברות הממשלתיות".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הוראות מהחוק</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סעיף 345כא לחוק לא יחול לגבי המדינה כבעלת מניות בחברה ממשלתית לתועלת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345כד(ג) לחוק, הדוחות המנויים בסעיף האמור יאושרו בידי דירקטוריון של חברה ממשלתית לתועלת הציבור, ולא בידי האסיפה הכללית.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במסגרת הפרטה</w:t>
                </w:r>
              </w:p>
            </w:txbxContent>
          </v:textbox>
        </v:rect>
      </w:pict>
      <w:r>
        <w:rPr>
          <w:lang w:bidi="he-IL"/>
          <w:rFonts w:hint="cs" w:cs="FrankRuehl"/>
          <w:szCs w:val="34"/>
          <w:rtl/>
        </w:rPr>
        <w:t xml:space="preserve">7.</w:t>
      </w:r>
      <w:r>
        <w:rPr>
          <w:lang w:bidi="he-IL"/>
          <w:rFonts w:hint="cs" w:cs="FrankRuehl"/>
          <w:szCs w:val="26"/>
          <w:rtl/>
        </w:rPr>
        <w:tab/>
        <w:t xml:space="preserve">ניתנה החלטת הפרטה לגבי חברה ממשלתית לתועלת הציבור, לא יחולו סעיפים 345ה ו-345טו(א) לחוק על פעולות הנדרשות לשם ביצוע החלטת ההפרטה, ובלבד שניתנה לרשם ההקדשות הזדמנות להביע עמדתו בפני ועדת השרים, ונשלחה לו הצעת ההחלטה 21 ימים מראש לפחות.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מרצון</w:t>
                </w:r>
              </w:p>
            </w:txbxContent>
          </v:textbox>
        </v:rect>
      </w:pict>
      <w:r>
        <w:rPr>
          <w:lang w:bidi="he-IL"/>
          <w:rFonts w:hint="cs" w:cs="FrankRuehl"/>
          <w:szCs w:val="34"/>
          <w:rtl/>
        </w:rPr>
        <w:t xml:space="preserve">8.</w:t>
      </w:r>
      <w:r>
        <w:rPr>
          <w:lang w:bidi="he-IL"/>
          <w:rFonts w:hint="cs" w:cs="FrankRuehl"/>
          <w:szCs w:val="26"/>
          <w:rtl/>
        </w:rPr>
        <w:tab/>
        <w:t xml:space="preserve">על אף הוראות סעיף 345יט לחוק, רשאית חברה ממשלתית לתועלת הציבור להתפרק בפירוק מרצון לפי הוראות פקודת החברות וחוק החברות הממשלתיות, וסעיף 345כ לחוק לא יחולו עליה.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ביום יב' בטבת התשס"ח (21 בדצמבר 2007).</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חברות ממשלתיות לתועלת הציבור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w:t>
      </w:r>
      <w:r>
        <w:rPr>
          <w:lang w:bidi="he-IL"/>
          <w:rFonts w:hint="cs" w:cs="FrankRuehl"/>
          <w:szCs w:val="26"/>
          <w:rtl/>
        </w:rPr>
        <w:tab/>
        <w:t xml:space="preserve">החברה לחינוך ימי בישראל (ביה"ס ימיים)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החברה למתנ"סים – מרכזים קהילתיים בישראל בע"מ</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הכפר הירוק ע"ש לוי אשכול בע"מ</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הרשות לחינוך והכשרה ימיים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חקר הימים ואגמים לישראל בע"מ</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מדרשת שדה בוקר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7.</w:t>
      </w:r>
      <w:r>
        <w:rPr>
          <w:lang w:bidi="he-IL"/>
          <w:rFonts w:hint="cs" w:cs="FrankRuehl"/>
          <w:szCs w:val="26"/>
          <w:rtl/>
        </w:rPr>
        <w:tab/>
        <w:t xml:space="preserve">פארק איילון בע"מ</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(תחולה על חברה לתועלת הציבור שהיא חברה ממשלתית או חברת בת ממשלתית),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67cc0d9e5fc498e" /><Relationship Type="http://schemas.openxmlformats.org/officeDocument/2006/relationships/header" Target="/word/header1.xml" Id="r97" /><Relationship Type="http://schemas.openxmlformats.org/officeDocument/2006/relationships/footer" Target="/word/footer1.xml" Id="r98" /></Relationships>
</file>