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89bd8096314c0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הירושה (דרכים להשקעת כספי עיזבון),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השקעה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התחשבות בצורכי העיזבון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בית משפט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כספים שהיו מושקעים ביום המינוי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לבית 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על ידי מנהל תיקי השקעות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הירושה (דרכים להשקעת כספי עיזבון),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85א ו-160 לחוק הירושה, התשכ"ה-1965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השקעה</w:t>
                </w:r>
              </w:p>
            </w:txbxContent>
          </v:textbox>
        </v:rect>
      </w:pict>
      <w:r>
        <w:rPr>
          <w:lang w:bidi="he-IL"/>
          <w:rFonts w:hint="cs" w:cs="FrankRuehl"/>
          <w:szCs w:val="34"/>
          <w:rtl/>
        </w:rPr>
        <w:t xml:space="preserve">2.</w:t>
      </w:r>
      <w:r>
        <w:rPr>
          <w:lang w:bidi="he-IL"/>
          <w:rFonts w:hint="cs" w:cs="FrankRuehl"/>
          <w:szCs w:val="26"/>
          <w:rtl/>
        </w:rPr>
        <w:tab/>
        <w:t xml:space="preserve">מנהל עיזבון ישקיע את כספי העיזבון שאינם דרושים לצורכי הנהלתו השוטפים באחת מדרכים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בפיקדונות בנקאיים שקליים, נושאי ריבית או הפרשי הצמדה וריבית ובעיזבון שצפוי שניהולו יימשך יותר משנתיים ממועד ההשקעה עד לחלוקת הכספים ליורשים, ושהכספים לא יידרשו לניהול צורכי העיזבון השוטפים, לרבות תשלום חובות העיזבון – בתכניות חיסכון בנקאיות צמודות מדד, לפרקי זמן מוגדרים מראש, בהתחשב באמור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בניירות ערך שהוציאה המדינה או שהיא ערבה לפירעונם;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במסירתם לידי האפוטרופוס הכללי לשם השקעה לפי הוראות סעיף 10(ג) ו-(ד) לחוק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דרך אחרת שאישר בית המשפט מראש.</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התחשבות בצורכי העיזבון</w:t>
                </w:r>
              </w:p>
            </w:txbxContent>
          </v:textbox>
        </v:rect>
      </w:pict>
      <w:r>
        <w:rPr>
          <w:lang w:bidi="he-IL"/>
          <w:rFonts w:hint="cs" w:cs="FrankRuehl"/>
          <w:szCs w:val="34"/>
          <w:rtl/>
        </w:rPr>
        <w:t xml:space="preserve">3.</w:t>
      </w:r>
      <w:r>
        <w:rPr>
          <w:lang w:bidi="he-IL"/>
          <w:rFonts w:hint="cs" w:cs="FrankRuehl"/>
          <w:szCs w:val="26"/>
          <w:rtl/>
        </w:rPr>
        <w:tab/>
        <w:t xml:space="preserve">דרכי ההשקעה לפי תקנה 2 ומשך תקופת ההשקעה, ייקבעו בהתחשב בצורכי ניהול העיזבון השוטפים, לרבות תשלום חובות העיזבון, ובמועד הצפוי של החלוקה ליורשים.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בית משפט</w:t>
                </w:r>
              </w:p>
            </w:txbxContent>
          </v:textbox>
        </v:rect>
      </w:pict>
      <w:r>
        <w:rPr>
          <w:lang w:bidi="he-IL"/>
          <w:rFonts w:hint="cs" w:cs="FrankRuehl"/>
          <w:szCs w:val="34"/>
          <w:rtl/>
        </w:rPr>
        <w:t xml:space="preserve">4.</w:t>
      </w:r>
      <w:r>
        <w:rPr>
          <w:lang w:bidi="he-IL"/>
          <w:rFonts w:hint="cs" w:cs="FrankRuehl"/>
          <w:szCs w:val="26"/>
          <w:rtl/>
        </w:rPr>
        <w:tab/>
        <w:t xml:space="preserve">השקעת כספי עיזבון ששוויים עולה על 1,409,480 שקלים חדשים, טעונה הסכמת היורשים בכתב או אישור של בית המשפט; היה בין היורשים חסוי, קטין או נעדר – טעונה השקעת כספים ששווים כאמור, בכל מקרה אישור של בית המשפט.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כספים שהיו מושקעים ביום המינוי</w:t>
                </w:r>
              </w:p>
            </w:txbxContent>
          </v:textbox>
        </v:rect>
      </w:pict>
      <w:r>
        <w:rPr>
          <w:lang w:bidi="he-IL"/>
          <w:rFonts w:hint="cs" w:cs="FrankRuehl"/>
          <w:szCs w:val="34"/>
          <w:rtl/>
        </w:rPr>
        <w:t xml:space="preserve">5.</w:t>
      </w:r>
      <w:r>
        <w:rPr>
          <w:lang w:bidi="he-IL"/>
          <w:rFonts w:hint="cs" w:cs="FrankRuehl"/>
          <w:szCs w:val="26"/>
          <w:rtl/>
        </w:rPr>
        <w:tab/>
        <w:t xml:space="preserve">כספים שביום מינוי מנהל העיזבון היו מושקעים בדרך השקעה שלא לפי תקנות אלה, ואשר נקבעו בה מועדים מוגדרים מראש למשיכת הכספים או למימוש (להלן – מועדי יציאה), יוסיפו להיות מושקעים באותה דרך עד למועד היציאה הראשון וממועד זה ישקיע מנהל העיזבון את הכספים לפי תקנות אלה, אלא אם כן הורה בית המשפט אחרת.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לבית משפט</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לבית המשפט לאישור דרך השקעה לפי תקנות 2(4), 4 ו-5, תוגש בכתב; המשיבים בבקשה יהיו האפוטרופוס הכללי וכל היורשים, ואולם רשאי בית המשפט, בנסיבות מיוחדות שיירשמו, לפטור מחובת המצאת הבקשה למשיב פלוני; צורפה הסכמתו של יורש לבקשה אין צורך להמציאה לו ולהזמינו לדיון אלא אם כן הורה על כך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הכולל של כספי העיזבון, הסכום שמוצע להשקיעו ודרך ההשקעה המוצעת;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 נכסי העיזבון והכנסותיו הנוכחיות והצפויות עד למועד החלוקה ליורשים;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התחייבויות והוצאות העיזבון הנוכחיות והצפויות עד למועד החלוקה ליורשים.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לאישור דרך השקעה של כספי עיזבון כאמור בתקנה 4 יצרף מנהל העיזבון חוות דעת של רואה חשבון או של יועץ השקעות, המנמקת את דרך ההשקעה המוצעת.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על ידי מנהל תיקי השקעות</w:t>
                </w:r>
              </w:p>
            </w:txbxContent>
          </v:textbox>
        </v:rect>
      </w:pict>
      <w:r>
        <w:rPr>
          <w:lang w:bidi="he-IL"/>
          <w:rFonts w:hint="cs" w:cs="FrankRuehl"/>
          <w:szCs w:val="34"/>
          <w:rtl/>
        </w:rPr>
        <w:t xml:space="preserve">7.</w:t>
      </w:r>
      <w:r>
        <w:rPr>
          <w:lang w:bidi="he-IL"/>
          <w:rFonts w:hint="cs" w:cs="FrankRuehl"/>
          <w:szCs w:val="26"/>
          <w:rtl/>
        </w:rPr>
        <w:tab/>
        <w:t xml:space="preserve">בבוא בית המשפט לאשר בקשה לפי תקנה 4 רשאי הוא להורות על ניהול כספי העיזבון על ידי מנהל תיקי השקעות, כמשמעותו בחוק הסדרת העיסוק בייעוץ השקעות ובניהול תיקי השקעות, התשנ"ה-1995.</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הסכום הנקוב בתקנה 4 יעודכן ב-1 בינואר של כל שנה, בשיעור עליית המדד שפורסם בחודש דצמבר שקדם לו, לעומת המדד שפורסם בחודש דצמבר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הירושה (דרכים להשקעת כספי עיזבון), התש"ם-1979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תשעים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r>
      <w:r>
        <w:rPr>
          <w:lang w:bidi="he-IL"/>
          <w:rFonts w:hint="cs" w:cs="FrankRuehl"/>
          <w:szCs w:val="26"/>
          <w:rtl/>
        </w:rPr>
        <w:tab/>
        <w:t xml:space="preserve">אישר בית המשפט דרך השקעה לפני יום התחילה, יראו את האישור כאילו ניתן לפי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הירושה (דרכים להשקעת כספי עיזבון), תש"ס-2000, נוסח עדכני נכון ליום 23.01.2023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1f7c3f48454e25" /><Relationship Type="http://schemas.openxmlformats.org/officeDocument/2006/relationships/header" Target="/word/header1.xml" Id="r97" /><Relationship Type="http://schemas.openxmlformats.org/officeDocument/2006/relationships/footer" Target="/word/footer1.xml" Id="r98" /></Relationships>
</file>