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d15e692500d47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המקרקעין (ניהול ורישום), תשע"ב-2011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ב':ארגון המרשם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הממונה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המפקח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מוסמך בסמכויות רשם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פעולות למפקח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הפנקסים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הרישום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ג':הליכי הרישום</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א':רישום עסקאות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עסקה לרישום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עסקאות כשהחותם הוא תאגיד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תכניות מאושרות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השטר בלשכה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העסקה לרישום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השטר בפני עורך דין ורישום העסקה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הסמכה לאמת שטרי עסקה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צדדים לעסקה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ב':רישום ירושה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ירושה על פי בקשה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ירושה של שכירות מתבטלת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סימן א'</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ג':רישום הערות ומחיקתן</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הערת אזהרה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של הערת אזהרה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הרשם לדרוש מסמכים נוספים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צורך בהסכמה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ד':רישום הערות נוספות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הערות נוספות על ההערות שבחוק</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ביטול הרשאה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ייעודם של מקרקעין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מקלט או מחסה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אי-התאמה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נכסי הקדש ציבורי</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ה':רישום פסקי דין וצווים</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פסקי דין והחלטות אחרות של בתי משפט</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החלטות וצווים של רשויות אחרות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המסמך לרישום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ו':רישום זכות קדימה ומימושה</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קדימה על פי הסכם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זכות קדימה של יורש</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הצעה לרכישת מקרקעין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מחיר</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תשלום למציע</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ההעברה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ז':רישום הסכם שיתוף, פירוק שיתוף או רישום זיקת הנאה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הסכם שיתוף</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זיקת הנאה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לעניין פירוק שיתוף דרך הפיכה לבית משותף</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ח':רישום ראשון, חידוש רישום ותיקון שטח או גבולות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ראשון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לחידוש רישום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לתיקון שטח או גבולות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 לבעלי הזכויות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התנגדות</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צו רישום במקרה שלא הוגשה התנגדות</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כשהוגשה התנגדות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המפקח</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ההחלטה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הצו</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הרישום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ט':רישום בית משותף, תיקון הרישום וביטולו</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לרישום בפנקס הבתים המשותפים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צו רישום</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צו</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משותף המורכב מבתים אחדים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לתיקון צו רישום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טענות והחלטת המפקח בבקשה לתיקון צו רישום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הרישום בפנקס הבתים המשותפים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טענות בהליך לביטול הרישום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בית שבבעלות משותפת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בעלות לחוכר</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י':חלוקה, פיצול ואיחוד</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חלקה  תלת-ממדית במקרקעין מוסדרים</w:t>
                </w:r>
              </w:p>
            </w:tc>
            <w:tc>
              <w:tcPr>
                <w:tcW w:w="800" w:type="pct"/>
              </w:tcPr>
              <w:p>
                <w:pPr>
                  <w:bidi/>
                  <w:spacing w:before="45" w:after="5" w:line="250" w:lineRule="auto"/>
                </w:pPr>
                <w:defaultTabStop w:val="720"/>
                <w:r>
                  <w:rPr>
                    <w:lang w:bidi="he-IL"/>
                    <w:rFonts w:hint="cs" w:cs="Times New Roman"/>
                    <w:szCs w:val="24"/>
                    <w:rtl/>
                  </w:rPr>
                  <w:t xml:space="preserve">סעיף 64א</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פעולת תכנון</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חלוקה חדשה</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י"א:ביטול רישומים</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מחוברים שנרשמו בנפרד מהקרקע</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 זכויות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זכות רשומה</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רישום בידי הצדדים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הפקעת משכנתה בעקבות הפקדה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עיקולים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ד':עררים</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התקופה לערר לממונה</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סיכומים נוספים</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התקופה לערעור לבית המשפט</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ה':בתים משותפים ובתים שאינם רשומים כבתים משותפים</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א':יישוב סכסוכים</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התביעה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התביעה</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תקנון לכתב התביעה בבית שאינו רשום כבית משותף</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התקופה לערעור</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ב':ניהול ופיקוח</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תקנון לבית משותף</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נציגויות נפרדות למבנים או לאגפים</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סכסוך בבית משותף שנהרס</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סוגי מקרקעין</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עסקאות במקרקעי יעוד</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בכתב</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בפנקסים</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נסחים</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באוסף תעודות וקבלת עותקים מאושרים</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מרשם לרשם</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טעויות</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בעיתונים</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99</w:t>
                </w:r>
              </w:p>
            </w:tc>
          </w:tr>
        </w:tbl>
        <w:br w:type="page"/>
      </w:r>
    </w:p>
    <w:p>
      <w:pPr>
        <w:bidi/>
        <w:spacing w:before="45" w:after="70" w:line="250" w:lineRule="auto"/>
        <w:jc w:val="center"/>
      </w:pPr>
      <w:defaultTabStop w:val="720"/>
      <w:r>
        <w:rPr>
          <w:lang w:bidi="he-IL"/>
          <w:rFonts w:hint="cs" w:cs="FrankRuehl"/>
          <w:szCs w:val="32"/>
          <w:rtl/>
        </w:rPr>
        <w:t xml:space="preserve">תקנות המקרקעין (ניהול ורישום), 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77, 89, 121, 122, 123, 133 ו-168 לחוק המקרקעין, התשכ"ט-1969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דירה" – כהגדרתו בסעיף 52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הממונה על המרשם כמשמעותו בסעיף 118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"המרשם" – כמשמעותו בפרק ט'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"הפנקסים" – הפנקסים כמשמעותם בסעיף 123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הג"א" – חוק ההתגוננות האזרחית,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הנאמנות" – חוק הנאמנות, התשל"ט-1979;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 חוק התכנון והבנייה,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"חלקה תלת-ממדית" – כהגדרתה בסעיף 14א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"חתימה אלקטרונית מאובטחת", "חתימה אלקטרונית מאושרת", "מסר אלקטרוני" – כהגדרתם בחוק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"לשכה" – כמשמעותה בסעיף 115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"מודד" – כהגדרתו בפקודת המדידות;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תכנון" – כהגדרתו בחוק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"מוסמך בסמכויות רשם" – כמשמעותו בסעיף 116(ב)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מפקח על רישום מקרקעין כמשמעותו בסעיף 117(א)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"נסח" – העתק מרישום בפנקסי המקרקעין המאושר על ידי לשכת רישום;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בעל רישיון לעריכת דין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"פלט" – כהגדרתו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 כהגדרתו בחוק רואי חשבון,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כמשמעותו בסעיף 116(א) לחוק.</w:t>
      </w:r>
    </w:p>
    <w:p>
      <w:pPr>
        <w:bidi/>
        <w:spacing w:before="70" w:after="5" w:line="250" w:lineRule="auto"/>
        <w:jc w:val="center"/>
      </w:pPr>
      <w:defaultTabStop w:val="720"/>
      <w:r>
        <w:rPr>
          <w:lang w:bidi="he-IL"/>
          <w:rFonts w:hint="cs" w:cs="FrankRuehl"/>
          <w:szCs w:val="26"/>
          <w:b/>
          <w:bCs/>
          <w:rtl/>
        </w:rPr>
        <w:t xml:space="preserve">פרק ב':ארגון המרשם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הממונה</w:t>
                </w:r>
              </w:p>
            </w:txbxContent>
          </v:textbox>
        </v:rect>
      </w:pict>
      <w:r>
        <w:rPr>
          <w:lang w:bidi="he-IL"/>
          <w:rFonts w:hint="cs" w:cs="FrankRuehl"/>
          <w:szCs w:val="34"/>
          <w:rtl/>
        </w:rPr>
        <w:t xml:space="preserve">2.</w:t>
      </w:r>
      <w:r>
        <w:rPr>
          <w:lang w:bidi="he-IL"/>
          <w:rFonts w:hint="cs" w:cs="FrankRuehl"/>
          <w:szCs w:val="26"/>
          <w:rtl/>
        </w:rPr>
        <w:tab/>
        <w:t xml:space="preserve">הממונה העומד בראש המרשם יפעל בסמכויות ובתפקידים שנקבעו לו בחוק ובתקנות לפיו.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המפקח</w:t>
                </w:r>
              </w:p>
            </w:txbxContent>
          </v:textbox>
        </v:rect>
      </w:pict>
      <w:r>
        <w:rPr>
          <w:lang w:bidi="he-IL"/>
          <w:rFonts w:hint="cs" w:cs="FrankRuehl"/>
          <w:szCs w:val="34"/>
          <w:rtl/>
        </w:rPr>
        <w:t xml:space="preserve">3.</w:t>
      </w:r>
      <w:r>
        <w:rPr>
          <w:lang w:bidi="he-IL"/>
          <w:rFonts w:hint="cs" w:cs="FrankRuehl"/>
          <w:szCs w:val="26"/>
          <w:rtl/>
        </w:rPr>
        <w:tab/>
        <w:t xml:space="preserve">אלה סמכויותיו ותפקידיו של מפקח, נוסף על אלה שנקבעו לו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קביעת סדרי עבודה ופיקוח על עבודת עובדי לשכתו;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פיקוח על ביצוע תפקידיהם של הרשמים שנתמנו ללשכות הרישום שבאזור סמכותו;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ביצוע כל תפקיד שיטיל הממונה, בין על המפקחים כולם ובין עליו אישית.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הרשם</w:t>
                </w:r>
              </w:p>
            </w:txbxContent>
          </v:textbox>
        </v:rect>
      </w:pict>
      <w:r>
        <w:rPr>
          <w:lang w:bidi="he-IL"/>
          <w:rFonts w:hint="cs" w:cs="FrankRuehl"/>
          <w:szCs w:val="34"/>
          <w:rtl/>
        </w:rPr>
        <w:t xml:space="preserve">4.</w:t>
      </w:r>
      <w:r>
        <w:rPr>
          <w:lang w:bidi="he-IL"/>
          <w:rFonts w:hint="cs" w:cs="FrankRuehl"/>
          <w:szCs w:val="26"/>
          <w:rtl/>
        </w:rPr>
        <w:tab/>
        <w:t xml:space="preserve">אלה סמכויותיו ותפקידיו של רשם, נוסף על אלה שנקבעו לו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ניהול הפנקסים בלשכת הרישום שעליה נתמנה;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פיקוח על עבודת עובדי לשכת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ביצוע כל תפקיד שיטיל הממונה, בין על הרשמים כולם ובין עליו אישית.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מוסמך בסמכויות רשם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אלה סמכויותיו של המוסמך בסמכויות 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חתימת שטר ואישור עסקה לרישום לפי החוק ולפי תקנות 12, 13 ו-14;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רישום הערות לפי החוק ולפי סימנים ג' עד ה', בפרק ג'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ביטול הרישום של משכנתה לפי תקנה 72;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ביצוע כל תפקיד אחר שיטיל עליו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רשאי להורות כי סוג של פעולות המוסמך בסמכויות רשם לא ייעשה אלא באישורו.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פעולות למפקח</w:t>
                </w:r>
              </w:p>
            </w:txbxContent>
          </v:textbox>
        </v:rect>
      </w:pict>
      <w:r>
        <w:rPr>
          <w:lang w:bidi="he-IL"/>
          <w:rFonts w:hint="cs" w:cs="FrankRuehl"/>
          <w:szCs w:val="34"/>
          <w:rtl/>
        </w:rPr>
        <w:t xml:space="preserve">6.</w:t>
      </w:r>
      <w:r>
        <w:rPr>
          <w:lang w:bidi="he-IL"/>
          <w:rFonts w:hint="cs" w:cs="FrankRuehl"/>
          <w:szCs w:val="26"/>
          <w:rtl/>
        </w:rPr>
        <w:tab/>
        <w:t xml:space="preserve">הממונה רשאי להורות כי סוג פעולות מסוים של רשם לא ייעשה אלא באישורו של המפקח; הוראה כאמור יכול שתהיה כללית או ללשכה מסוימת.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הפנקסים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אלה הם הפנקסים: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פנקס זכויות;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פנקס בתים משותפים;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פנקס שטרות, לגבי מקרקעין בלתי מוסדרים.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הפנקסים והרישומים בהם יכול שיתנהלו בכתב יד, בדפוס, בצילום, בסרט מגנטי או באמצעות מכשיר מכני, חשמלי או אלקטרוני אחר, ובכל שיטה המתאימה למערכת מיכון, ובכלל אלה מערכת המופעלת באמצעי אלקטרוני או כל אמצעי אחר, לרבות ידני.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הרישום</w:t>
                </w:r>
              </w:p>
            </w:txbxContent>
          </v:textbox>
        </v:rect>
      </w:pict>
      <w:r>
        <w:rPr>
          <w:lang w:bidi="he-IL"/>
          <w:rFonts w:hint="cs" w:cs="FrankRuehl"/>
          <w:szCs w:val="34"/>
          <w:rtl/>
        </w:rPr>
        <w:t xml:space="preserve">8.</w:t>
      </w:r>
      <w:r>
        <w:rPr>
          <w:lang w:bidi="he-IL"/>
          <w:rFonts w:hint="cs" w:cs="FrankRuehl"/>
          <w:szCs w:val="26"/>
          <w:rtl/>
        </w:rPr>
        <w:tab/>
        <w:t xml:space="preserve">הממונה יורה על אופן ניהול הפנקסים וצורת הרישום בהם.</w:t>
      </w:r>
    </w:p>
    <w:p>
      <w:pPr>
        <w:bidi/>
        <w:spacing w:before="70" w:after="5" w:line="250" w:lineRule="auto"/>
        <w:jc w:val="center"/>
      </w:pPr>
      <w:defaultTabStop w:val="720"/>
      <w:r>
        <w:rPr>
          <w:lang w:bidi="he-IL"/>
          <w:rFonts w:hint="cs" w:cs="FrankRuehl"/>
          <w:szCs w:val="26"/>
          <w:b/>
          <w:bCs/>
          <w:rtl/>
        </w:rPr>
        <w:t xml:space="preserve">פרק ג':הליכי הרישום</w:t>
      </w:r>
      <w:bookmarkStart w:name="h11" w:id="11"/>
      <w:bookmarkEnd w:id="11"/>
    </w:p>
    <w:p>
      <w:pPr>
        <w:bidi/>
        <w:spacing w:before="70" w:after="5" w:line="250" w:lineRule="auto"/>
        <w:jc w:val="center"/>
      </w:pPr>
      <w:defaultTabStop w:val="720"/>
      <w:r>
        <w:rPr>
          <w:lang w:bidi="he-IL"/>
          <w:rFonts w:hint="cs" w:cs="FrankRuehl"/>
          <w:szCs w:val="26"/>
          <w:b/>
          <w:bCs/>
          <w:rtl/>
        </w:rPr>
        <w:t xml:space="preserve">סימן א':רישום עסקאות</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עסקה לרישום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רישום עסקה ייעשה על פי בקשה כאמור בתקנת משנה (ב) ועל סמך שטר שנערך כדין בידי הצדדים לעסקה ואומת ואושר כאמור בתקנות אלה (להלן – שטר עסקה); השטר יודפס ויהיה לפי הטופס המתאים מבין הטפסים שהורה עליהם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לרישום עסקה במקרקעין תהא חתומה בידי בעל המקרקעין או בעל הזכות שהיא נושא העסקה, וכן תכלול פרטים באשר לתיאור המקרקעין, זיהוי הצדדים ובאי כוחם ומהות העסקה, והכל לפי הטופס המתאים מבין הטפסים שהורה עליהם הממונה, ותוגש לרשם הממונה על הלשכה שבה רשומים המקרקעין נושא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שטר עסקה, חתום כאמור בתקנה 14 או מוכן לחתימה, במקור והעתק ובמספר עותקים נוסף כמספר הצדדים לעסקה; לעניין פסקה זו, הגשה מקוונת של שטר סרוק אשר יאומת בחתימה אלקטרונית אחת או יותר, תיחשב כהגשת השטר במקור; הוגש השטר באופן מקוון כאמור, אין צורך בהגשת עותקים נוספים של השטר;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מסמכים מודפסים המוכיחים את כשירותם של החותמים על השטר, אם הוא עומד להיחתם שלא בידי צד לעסקה; הרשם רשאי להתיר קבלת מסמכים אף אם לא הודפסו, אם ראה כי בנסיבות המקרה יהיה זה צודק ויעיל לעשות כן, ובתנאים שקבע;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מסמכים להוכחה כי שולמו כל האגרות, המסים, הארנונות ושאר תשלומי החובה שתשלומם הוא תנאי לרישום עסקה במקרקעין;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הסכמתו לביצוע העסקה של צד שלישי, מקום שדרושה הסכמתו לפי דין או לפי תנאי ששימש יסוד לרישום קודם או על פי נתונים בפנקסים; הסכמתו של צד שלישי תהיה בכתב וחתימתו תאומת בדרך שמאמתים חתימת שטר עסקה.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עסקאות כשהחותם הוא תאגיד</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היה אחד הצדדים לעסקה תאגיד, יצורפו לשטר העסקה גם תעודות ומסמכים המעידים על קיום התאגיד, על כשירותו לבצע את העסקה שמבקשים לרשמה ועל החלטתו לבצעה, וכן מסמך בכתב מאת עורך דין או רואה חשבון המאשר כי התקיימו כל אלה ואשר מפרט את הגורמים המוסמכים לחתום בשמו של התאגיד; החתימות על גבי ההחלטה לביצוע העסקה יאומתו בידי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אחד הצדדים לעסקה תאגיד זר, יצורף לשטר עסקה, נוסף על האישור האמור בתקנת משנה (א), גם אישור עורך דין הבקיא בדיני המדינה שהתאגיד רשום בה, כי התאגיד כשיר לבצע את הפעולה לפי אותם דינים.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תכניות מאושרות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אם הרישום הקיים של מקרקעין אינו מבוסס על תכנית מאושרת כדין לפי חוק התכנון או לפי פקודת המדידות, תצורף לשטר גם תכנית שהוכנה ונחתמה בידי מודד כאמור, או שאושרה לפי חוק התכנון, וכן בוקרה ואושרה לפי הוראות תקנות המודדים (מדידה ומיפוי), התשנ"ח-1998 (להלן – תקנות המודדים); מפקח רשאי לפטור מבקש מחובה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העסקה שרישומה מבוקש שכירות או זיקת הנאה בחלק מסוים ממקרקעין, תצורף לשטר העסקה גם תכנית שהוכנה ונחתמה בידי מודד, אף אם הרישום הקיים של המקרקעין מבוסס על תכנית מאושרת כדין לפי חוק התכנון או לפי פקודת המדידות.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השטר בלשכה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התייצבו הצדדים לעסקה לפני הרשם, יבדוק הרשם את המסמכים שהוגשו ויברר אם העסקה כשרה לרישום ואם הנתונים בפנקסים מאפשרים את רישומה.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הרשם כי הצדדים זכאים לבצע את העסקה וכי אין מניעה לביצועה ולרישומה, יחתים את הצדדים על שטר עסקה ויאמת את חתימותיהם בחתימת ידו, לאחר שזיהה אותם והסביר להם את מהות העסקה שהם עומדים לבצע ואת התוצאות המשפטיות הנובעות ממנה, ולאחר ששוכנע שהדבר הובן כראוי ושהם חותמים מרצונם.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העסקה לרישום</w:t>
                </w:r>
              </w:p>
            </w:txbxContent>
          </v:textbox>
        </v:rect>
      </w:pict>
      <w:r>
        <w:rPr>
          <w:lang w:bidi="he-IL"/>
          <w:rFonts w:hint="cs" w:cs="FrankRuehl"/>
          <w:szCs w:val="34"/>
          <w:rtl/>
        </w:rPr>
        <w:t xml:space="preserve">13.</w:t>
      </w:r>
      <w:r>
        <w:rPr>
          <w:lang w:bidi="he-IL"/>
          <w:rFonts w:hint="cs" w:cs="FrankRuehl"/>
          <w:szCs w:val="26"/>
          <w:rtl/>
        </w:rPr>
        <w:tab/>
        <w:t xml:space="preserve">נחתם שטר עסקה ואומת כאמור בתקנה 12(ב), יאשר הרשם את העסקה לרישום, יעבירה לביקורת ואם העסקה נמצאה כשרה לרישום, היא תירשם בפנקס.</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13א.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13ב.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השטר בפני עורך דין ורישום העסקה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התייצבו הצדדים לעסקה לפני עורך דין, יחתים אותם על שטר העסקה, ויאמת את חתימותיהם בחתימת ידו, לאחר שזיהה אותם והסביר להם את מהות העסקה שהם עומדים לבצע ואת התוצאות המשפטיות הנובעות ממנה, ולאחר ששוכנע שהדבר הובן כראוי ושהם חותמים מרצונם (בתקנה זו – אימות החתימות).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אימות החתימות, יאשר עורך דין, בכתב, כי בדק את הפרטים המופיעים בשטר העסקה והמסמכים שצורפו לו כאמור בתקנות 9 ו-10 (בתקנה זו – המסמכים) ומצאם מתאימים וראויים לעסקה המבוקשת; ואולם היו צדדים לעסקה מיוצגים בידי כמה עורכי דין רשאי כל עורך דין לאמת את חתימתו של צד לעסקה שהוא מייצג.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נחתם שטר העסקה ואומת כאמור בתקנות משנה (א) ו-(ב), יצרף עורך הדין את השטר לבקשה ולשאר המסמכים, ויגישם לרשם סמוך לאחר מועד האימות.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לרישום שטר העסקה שנחתם ואומת על פי תקנה זו, יבדוק הרשם את שטר העסקה והמסמכים שצורפו אליו, ויברר אם העסקה כשרה לרישום ואם הנתונים בפנקסים מאפשרים את רישומה.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ראה הרשם כי הצדדים זכאים לבצע את העסקה וכי אין מניעה לביצועה ולרישומה, יאשר הרשם את העסקה ויעבירה לביקורת, ואם נמצאה כשרה לרישום, היא תירשם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הרשם רשאי להתנות את הגשת שטר העסקה לרישום בקבלת תצלום תעודת הזהות או מסמך מזהה אחר, להנחת דעתו, של מי שהגיש את השטר לרישום ושל הצדדים לעסקה.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הסמכה לאמת שטרי עסקה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יהיה עורך דין מוסמך לאמת שטרי עסקה אם החליט שר המשפטים, על פי המלצת ועדה שמינה לכך בהודעה ברשומות (להלן – ועדת המלצות), לשלול ממנו את סמכות האימות לתקופה שקבע בהחלטתו או לצמיתות.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המלצות תהיה של חמישה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 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שלושה חברים שימנה שר המשפטים בהמלצת לשכת עורכי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שלושה מחברי ועדת ההמלצות, ובהם היושב ראש, יהיו מניין חוקי בדיוניה.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המלצות תקבע בעצמה את סדרי דיוניה ואת נוהל עבודתה.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צדדים לעסקה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המחתים את הצדדים לעסקה יזהה אותם על פי תעודת זהות או דרכון בר-תוקף.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להחתים צד לעסקה אף בלא הצגת תעודת זהות או דרכון כאמור אם הוכחה זהותו של החותם להנחת דעת המחתים; המחתים כך יציין עובדה זו בגוף השטר המאומת.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תקנה זו יחולו, בשינויים המחויבים, על כל מקרה של קביעת זהותו של אדם לעניין תקנות אלה.</w:t>
      </w:r>
    </w:p>
    <w:p>
      <w:pPr>
        <w:bidi/>
        <w:spacing w:before="70" w:after="5" w:line="250" w:lineRule="auto"/>
        <w:jc w:val="center"/>
      </w:pPr>
      <w:defaultTabStop w:val="720"/>
      <w:r>
        <w:rPr>
          <w:lang w:bidi="he-IL"/>
          <w:rFonts w:hint="cs" w:cs="FrankRuehl"/>
          <w:szCs w:val="26"/>
          <w:b/>
          <w:bCs/>
          <w:rtl/>
        </w:rPr>
        <w:t xml:space="preserve">סימן ב':רישום ירושה</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ירושה על פי בקשה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לעניין סימן זה, "רישום ירושה" – לרבות רישום צו ירושה וצו קיום צוואה, הסכם חלוקת עיזבון כמשמעותו בסעיף 110 לחוק הירושה, התשכ"ה-1965 (להלן – חוק הירושה), צו חלוקת עיזבון כמשמעותו בסעיף 111 לחוק הירושה או צו מינוי מנהל 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רישום ירושה ייערך על פי בקשה של מעוניין בדבר; על אף האמור, רישום הסכם חלוקת עיזבון כאמור בתקנת משנה (א) שאינו מאושר בידי בית משפט ייערך על פי בקשת כל היורשים.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הבקשה לרישום ירושה תוגש בלשכה שרשומים בה המקרקעין שלגביהם מבוקש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יצורף צו ירושה, צו קיום צוואה, צו חלוקת עיזבון, הסכם חלוקת עיזבון או צו מינוי מנהל עיזבון, אם ניתן או אושר בידי בית משפט, בית דין דתי או רשם לענייני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מונה מנהל עיזבון, יגיש מנהל העיזבון את הבקשה לרישום ירושה או שהבקשה תוגש בהסכמתו.</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ירושה של שכירות מתבטלת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הוגשה בקשה לרישום ירושה של שכירות, וראה הרשם כי לפי תנאי השכירות רשאי המשכיר לבטלה בשל מותו של השוכר או אירוע הנובע ממותו, יעכב את רישום הירושה, ימציא למשכיר הודעה על הבקשה ויבקשו שיודיע את עמדתו בתוך ארבעה עשר ימים מיום קבלת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המשכיר לרשם, בתוך התקופה האמורה, על התנגדותו לרישום הירושה, לא תירשם הירושה אלא על פי צו מפורש של בית משפט מוסמך או אם הודיע המשכיר לאחר מכן על הסכמתו לרישומה.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הודיע המשכיר על התנגדותו, או הודיע על הסכמתו לרישום הירושה, יורה הרשם על רישום הירושה כמבוקש.</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סימן א'</w:t>
                </w:r>
              </w:p>
            </w:txbxContent>
          </v:textbox>
        </v:rect>
      </w:pict>
      <w:r>
        <w:rPr>
          <w:lang w:bidi="he-IL"/>
          <w:rFonts w:hint="cs" w:cs="FrankRuehl"/>
          <w:szCs w:val="34"/>
          <w:rtl/>
        </w:rPr>
        <w:t xml:space="preserve">20.</w:t>
      </w:r>
      <w:r>
        <w:rPr>
          <w:lang w:bidi="he-IL"/>
          <w:rFonts w:hint="cs" w:cs="FrankRuehl"/>
          <w:szCs w:val="26"/>
          <w:rtl/>
        </w:rPr>
        <w:tab/>
        <w:t xml:space="preserve">הוראות סימן א' יחולו, בשינויים המחויבים, על רישום ירושה לפי סימן זה, ולעניין זה יראו את הבקשה לרישום ירושה כשטר עסקה.</w:t>
      </w:r>
    </w:p>
    <w:p>
      <w:pPr>
        <w:bidi/>
        <w:spacing w:before="70" w:after="5" w:line="250" w:lineRule="auto"/>
        <w:jc w:val="center"/>
      </w:pPr>
      <w:defaultTabStop w:val="720"/>
      <w:r>
        <w:rPr>
          <w:lang w:bidi="he-IL"/>
          <w:rFonts w:hint="cs" w:cs="FrankRuehl"/>
          <w:szCs w:val="26"/>
          <w:b/>
          <w:bCs/>
          <w:rtl/>
        </w:rPr>
        <w:t xml:space="preserve">סימן ג':רישום הערות ומחיקתן</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הערת אזהרה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רישום הערת אזהרה לפי סעיף 126 לחוק יהיה על פי בקשה חתומה על ידי המתחייב או הזכאי, המאומתת בידי עורך דין או רשם, בדרך שמאמתים שטר עסקה; הבקשה תוגש לרישום בלשכה שרשומים בה המקרקעין שלגביהם מבוקש רישום ההערה.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התחייבות בכתב כמשמעותה בסעיף 126 לחוק; הוגשה הבקשה בידי המתחייב והזכאי יחד, רשאי הממונה לפטור את המבקשים מן החובה לצרף התחייבות כאמור בפסקה זו, בתנאים שקבע;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המתחייב בעל הזכות הרשומה – כתב הסכמה לרישום ההערה, בחתימת בעל הזכות הרשומה, המאומת בידי עורך דין או 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מסמכים המוכיחים את זהות כל מי שחתם על ההתחייבות, לרבות מסמכי תאגיד כאמור בתקנה 10, לפי העניין.</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של הערת אזהרה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בקשה למחיקת הערת אזהרה כאמור בסעיף 132(א)(1) לחוק, תוגש ללשכה שרשומה בה ההערה שאותה מבקשים למחוק, והיא תאומת בידי עורך דין או רשם בדרך שמאמתים שטר 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כאמור בתקנת משנה (א) יצורפו מסמכים כאמור בתקנה 21(ב)(3).</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הרשם לדרוש מסמכים נוספים</w:t>
                </w:r>
              </w:p>
            </w:txbxContent>
          </v:textbox>
        </v:rect>
      </w:pict>
      <w:r>
        <w:rPr>
          <w:lang w:bidi="he-IL"/>
          <w:rFonts w:hint="cs" w:cs="FrankRuehl"/>
          <w:szCs w:val="34"/>
          <w:rtl/>
        </w:rPr>
        <w:t xml:space="preserve">23.</w:t>
      </w:r>
      <w:r>
        <w:rPr>
          <w:lang w:bidi="he-IL"/>
          <w:rFonts w:hint="cs" w:cs="FrankRuehl"/>
          <w:szCs w:val="26"/>
          <w:rtl/>
        </w:rPr>
        <w:tab/>
        <w:t xml:space="preserve">לא היה בבקשה ובמסמכים שהוגשו לפי סימן זה כדי להוכיח, להנחת דעתו של הרשם, כי התקיימו התנאים הקבועים בחוק לרישום ההערה או למחיקתה, לפי העניין, רשאי הרשם לבקש כי יוגשו לו מסמכים נוספים, ככל שיידרשו.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צורך בהסכמה</w:t>
                </w:r>
              </w:p>
            </w:txbxContent>
          </v:textbox>
        </v:rect>
      </w:pict>
      <w:r>
        <w:rPr>
          <w:lang w:bidi="he-IL"/>
          <w:rFonts w:hint="cs" w:cs="FrankRuehl"/>
          <w:szCs w:val="34"/>
          <w:rtl/>
        </w:rPr>
        <w:t xml:space="preserve">24.</w:t>
      </w:r>
      <w:r>
        <w:rPr>
          <w:lang w:bidi="he-IL"/>
          <w:rFonts w:hint="cs" w:cs="FrankRuehl"/>
          <w:szCs w:val="26"/>
          <w:rtl/>
        </w:rPr>
        <w:tab/>
        <w:t xml:space="preserve">הוראות סימן זה יחולו, בשינוים המחויבים, גם על רישום הערות לפי סעיף 128 לחוק ומחיקתן.</w:t>
      </w:r>
    </w:p>
    <w:p>
      <w:pPr>
        <w:bidi/>
        <w:spacing w:before="70" w:after="5" w:line="250" w:lineRule="auto"/>
        <w:jc w:val="center"/>
      </w:pPr>
      <w:defaultTabStop w:val="720"/>
      <w:r>
        <w:rPr>
          <w:lang w:bidi="he-IL"/>
          <w:rFonts w:hint="cs" w:cs="FrankRuehl"/>
          <w:szCs w:val="26"/>
          <w:b/>
          <w:bCs/>
          <w:rtl/>
        </w:rPr>
        <w:t xml:space="preserve">סימן ד':רישום הערות נוספות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הערות נוספות על ההערות שבחוק</w:t>
                </w:r>
              </w:p>
            </w:txbxContent>
          </v:textbox>
        </v:rect>
      </w:pict>
      <w:r>
        <w:rPr>
          <w:lang w:bidi="he-IL"/>
          <w:rFonts w:hint="cs" w:cs="FrankRuehl"/>
          <w:szCs w:val="34"/>
          <w:rtl/>
        </w:rPr>
        <w:t xml:space="preserve">25.</w:t>
      </w:r>
      <w:r>
        <w:rPr>
          <w:lang w:bidi="he-IL"/>
          <w:rFonts w:hint="cs" w:cs="FrankRuehl"/>
          <w:szCs w:val="26"/>
          <w:rtl/>
        </w:rPr>
        <w:tab/>
        <w:t xml:space="preserve">ההערות המפורטות בסימן זה יירשמו בידי הרשם נוסף על ההערות שנקבעו בסימן ב' של פרק ט' לחוק ובכל דין אחר.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ביטול הרשאה</w:t>
                </w:r>
              </w:p>
            </w:txbxContent>
          </v:textbox>
        </v:rect>
      </w:pict>
      <w:r>
        <w:rPr>
          <w:lang w:bidi="he-IL"/>
          <w:rFonts w:hint="cs" w:cs="FrankRuehl"/>
          <w:szCs w:val="34"/>
          <w:rtl/>
        </w:rPr>
        <w:t xml:space="preserve">26.</w:t>
      </w:r>
      <w:r>
        <w:rPr>
          <w:lang w:bidi="he-IL"/>
          <w:rFonts w:hint="cs" w:cs="FrankRuehl"/>
          <w:szCs w:val="26"/>
          <w:rtl/>
        </w:rPr>
        <w:tab/>
        <w:t xml:space="preserve">על פי בקשת שולח, ירשום רשם הערה על ביטול הרשאה שאינה בלתי חוזרת כאמור בסעיף 14(ב) לחוק השליחות, התשכ"ה-1965.</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ייעודם של מקרקעין</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לפי בקשת יושב ראש מוסד תכנון ירשום רשם הערה על הייעוד או על השימוש שנקבע למקרקעין פלונים מכוח חוק התכנון, או על הוראה של תכנית או תנאי בהיתר שניתנו לפי 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הייעוד או השימוש שנרשם כאמור, או שונו הוראות של תכנית או תנאים בהיתר, יורה רשם, לפי בקשת מי שביקש את רישום ההערה, על מחיקתה.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מקלט או מחסה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על פי בקשת הרשות המקומית שבתחום שיפוטה נמצאים מקרקעין פלונים, או על פי בקשת מפקד הג"א ירשום רשם הערה כי אותם מקרקעין, או חלק מסוים בהם, נועדו לשמש מקלט או מחסה ציבורי כמשמעותם בחוק הג"א.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 הועדת מקרקעין למקלט או למחסה ציבורי, יורה רשם על מחיקת ההערה, לבקשת הרשות המקומית, מפקד הג"א, ועדת הערר האמורה בסעיף 13(ד) לחוק הג"א או אדם המעוניין באותם מקרקעין, שצורפו לה תעודות המוכיחות את ביטול הועדת המקרקעין כאמור.</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אי-התאמה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על פי בקשת מוסד תכנון, ירשום רשם הערה בדבר אי-התאמת בניין להיתר שנתן מוסד התכנון על פי הוראות 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רשאי להורות על מחיקת הערה שנרשמה כאמור בתקנת משנה (א), על פי בקשת מוסד התכנון שביקש את רישומה של ההערה, או על פי בקשת אדם המעוניין באותם מקרקעין, שצורפו לה תעודות המוכיחות כי עילת ההערה התבטלה.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נכסי הקדש ציבורי</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נרשמו מקרקעין או חלק מסוים מהם כנכסי הקדש ציבורי בפנקס ההקדשות הציבוריים, כמשמעותם בחוק הנאמנות, יודיע על כך רשם ההקדשות לרשם, והרשם ירשום הערה בדבר קיומו של רישום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 הקדש מפנקס ההקדשות הציבוריים, יודיע על כך רשם ההקדשות לרשם, והרשם יורה על מחיקת ההערה.</w:t>
      </w:r>
    </w:p>
    <w:p>
      <w:pPr>
        <w:bidi/>
        <w:spacing w:before="70" w:after="5" w:line="250" w:lineRule="auto"/>
        <w:jc w:val="center"/>
      </w:pPr>
      <w:defaultTabStop w:val="720"/>
      <w:r>
        <w:rPr>
          <w:lang w:bidi="he-IL"/>
          <w:rFonts w:hint="cs" w:cs="FrankRuehl"/>
          <w:szCs w:val="26"/>
          <w:b/>
          <w:bCs/>
          <w:rtl/>
        </w:rPr>
        <w:t xml:space="preserve">סימן ה':רישום פסקי דין וצווים</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פסקי דין והחלטות אחרות של בתי משפט</w:t>
                </w:r>
              </w:p>
            </w:txbxContent>
          </v:textbox>
        </v:rect>
      </w:pict>
      <w:r>
        <w:rPr>
          <w:lang w:bidi="he-IL"/>
          <w:rFonts w:hint="cs" w:cs="FrankRuehl"/>
          <w:szCs w:val="34"/>
          <w:rtl/>
        </w:rPr>
        <w:t xml:space="preserve">31.</w:t>
      </w:r>
      <w:r>
        <w:rPr>
          <w:lang w:bidi="he-IL"/>
          <w:rFonts w:hint="cs" w:cs="FrankRuehl"/>
          <w:szCs w:val="26"/>
          <w:rtl/>
        </w:rPr>
        <w:tab/>
        <w:t xml:space="preserve">רשם ירשום כל פסק דין, צו או החלטה אחרת של בית משפט, אם הורה בית המשפט על רישומה, או אם קיימת בדין הוראה המחייבת את רישומם בפנקסים.</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החלטות וצווים של רשויות אחרות</w:t>
                </w:r>
              </w:p>
            </w:txbxContent>
          </v:textbox>
        </v:rect>
      </w:pict>
      <w:r>
        <w:rPr>
          <w:lang w:bidi="he-IL"/>
          <w:rFonts w:hint="cs" w:cs="FrankRuehl"/>
          <w:szCs w:val="34"/>
          <w:rtl/>
        </w:rPr>
        <w:t xml:space="preserve">32.</w:t>
      </w:r>
      <w:r>
        <w:rPr>
          <w:lang w:bidi="he-IL"/>
          <w:rFonts w:hint="cs" w:cs="FrankRuehl"/>
          <w:szCs w:val="26"/>
          <w:rtl/>
        </w:rPr>
        <w:tab/>
        <w:t xml:space="preserve">רשם ירשום פסק דין, צו או החלטה אחרת של רשות המוסמכת להורות על רישום החלטותיה, אם הורתה הרשות על הרישום או שקיימת בדין הוראה המחייבת את רישומם בפנקסים.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המסמך לרישום</w:t>
                </w:r>
              </w:p>
            </w:txbxContent>
          </v:textbox>
        </v:rect>
      </w:pict>
      <w:r>
        <w:rPr>
          <w:lang w:bidi="he-IL"/>
          <w:rFonts w:hint="cs" w:cs="FrankRuehl"/>
          <w:szCs w:val="34"/>
          <w:rtl/>
        </w:rPr>
        <w:t xml:space="preserve">33.</w:t>
      </w:r>
      <w:r>
        <w:rPr>
          <w:lang w:bidi="he-IL"/>
          <w:rFonts w:hint="cs" w:cs="FrankRuehl"/>
          <w:szCs w:val="26"/>
          <w:rtl/>
        </w:rPr>
        <w:tab/>
        <w:t xml:space="preserve">פסק דין, צו או החלטה, כאמור בתקנות 31 או 32, יכול שיוגשו לרישום במישרין בידי בית המשפט או הרשות, לפי העניין, או בידי אדם מעוניין המבקש זאת.</w:t>
      </w:r>
    </w:p>
    <w:p>
      <w:pPr>
        <w:bidi/>
        <w:spacing w:before="70" w:after="5" w:line="250" w:lineRule="auto"/>
        <w:jc w:val="center"/>
      </w:pPr>
      <w:defaultTabStop w:val="720"/>
      <w:r>
        <w:rPr>
          <w:lang w:bidi="he-IL"/>
          <w:rFonts w:hint="cs" w:cs="FrankRuehl"/>
          <w:szCs w:val="26"/>
          <w:b/>
          <w:bCs/>
          <w:rtl/>
        </w:rPr>
        <w:t xml:space="preserve">סימן ו':רישום זכות קדימה ומימושה</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קדימה על פי הסכם</w:t>
                </w:r>
              </w:p>
            </w:txbxContent>
          </v:textbox>
        </v:rect>
      </w:pict>
      <w:r>
        <w:rPr>
          <w:lang w:bidi="he-IL"/>
          <w:rFonts w:hint="cs" w:cs="FrankRuehl"/>
          <w:szCs w:val="34"/>
          <w:rtl/>
        </w:rPr>
        <w:t xml:space="preserve">34.</w:t>
      </w:r>
      <w:r>
        <w:rPr>
          <w:lang w:bidi="he-IL"/>
          <w:rFonts w:hint="cs" w:cs="FrankRuehl"/>
          <w:szCs w:val="26"/>
          <w:rtl/>
        </w:rPr>
        <w:tab/>
        <w:t xml:space="preserve">זכות קדימה על פי הסכם כאמור בסעיף 99 לחוק תירשם בדרך שנרשמת עסקה, והוראות סימן א' יחולו על רישומה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זכות קדימה של יורש</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יורש המבקש לרשום זכות קדימה כאמור בסעיף 100(ב) לחוק, יגיש את בקשתו לרשם; לבקשה יצורף העתק מצו הירושה או צו קיום הצוואה,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יציין בבקשתו לגבי חלקם של אילו יורשים הוא מבקש לרשום את זכות הקדימה, או אם הוא מבקש לרשמה לגבי חלקם של כל שאר היורשים.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הרשם, על פי צו ירושה או צו קיום צוואה ועל פי ראיות נוספות שהוגשו לו, כי בקשת היורש בדין יסודה, תירשם זכות הקדימה.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הצעה לרכישת מקרקעין</w:t>
                </w:r>
              </w:p>
            </w:txbxContent>
          </v:textbox>
        </v:rect>
      </w:pict>
      <w:r>
        <w:rPr>
          <w:lang w:bidi="he-IL"/>
          <w:rFonts w:hint="cs" w:cs="FrankRuehl"/>
          <w:szCs w:val="34"/>
          <w:rtl/>
        </w:rPr>
        <w:t xml:space="preserve">36.</w:t>
      </w:r>
      <w:r>
        <w:rPr>
          <w:lang w:bidi="he-IL"/>
          <w:rFonts w:hint="cs" w:cs="FrankRuehl"/>
          <w:szCs w:val="26"/>
          <w:rtl/>
        </w:rPr>
        <w:tab/>
        <w:t xml:space="preserve">קיבל רשם העתק מהצעה שנשלחה לבעל זכות קדימה כאמור בסעיף 102(א) לחוק, ירשום הרשם הערה על כך.</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מחיר</w:t>
                </w:r>
              </w:p>
            </w:txbxContent>
          </v:textbox>
        </v:rect>
      </w:pict>
      <w:r>
        <w:rPr>
          <w:lang w:bidi="he-IL"/>
          <w:rFonts w:hint="cs" w:cs="FrankRuehl"/>
          <w:szCs w:val="34"/>
          <w:rtl/>
        </w:rPr>
        <w:t xml:space="preserve">37.</w:t>
      </w:r>
      <w:r>
        <w:rPr>
          <w:lang w:bidi="he-IL"/>
          <w:rFonts w:hint="cs" w:cs="FrankRuehl"/>
          <w:szCs w:val="26"/>
          <w:rtl/>
        </w:rPr>
        <w:tab/>
        <w:t xml:space="preserve">בעל זכות קדימה שקיבל הצעה כאמור בתקנה 36, וביקש להפקיד בידי רשם את המחיר הנדרש, ימסור לרשם העתק מן ההודעה ששלח למציע על הסכמתו לרכוש את המקרקעין כמוצע, אישור מסירת ההודעה בדואר רשום והמחאה לזכות המציע ולהנחת דעתו של הרשם על הסכום הנקוב בהצעה כתמורת המקרקעין או הזכות; רשם ירשום הערה על ההפקדה ויודיע עליה למציע.</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תשלום למציע</w:t>
                </w:r>
              </w:p>
            </w:txbxContent>
          </v:textbox>
        </v:rect>
      </w:pict>
      <w:r>
        <w:rPr>
          <w:lang w:bidi="he-IL"/>
          <w:rFonts w:hint="cs" w:cs="FrankRuehl"/>
          <w:szCs w:val="34"/>
          <w:rtl/>
        </w:rPr>
        <w:t xml:space="preserve">38.</w:t>
      </w:r>
      <w:r>
        <w:rPr>
          <w:lang w:bidi="he-IL"/>
          <w:rFonts w:hint="cs" w:cs="FrankRuehl"/>
          <w:szCs w:val="26"/>
          <w:rtl/>
        </w:rPr>
        <w:tab/>
        <w:t xml:space="preserve">שילם בעל זכות קדימה למציע את המחיר הנדרש, ימסור לרשם אישור של המציע על קבלת הסכום או אישור על מסירתו למציע באמצעות הדואר.</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ההעברה</w:t>
                </w:r>
              </w:p>
            </w:txbxContent>
          </v:textbox>
        </v:rect>
      </w:pict>
      <w:r>
        <w:rPr>
          <w:lang w:bidi="he-IL"/>
          <w:rFonts w:hint="cs" w:cs="FrankRuehl"/>
          <w:szCs w:val="34"/>
          <w:rtl/>
        </w:rPr>
        <w:t xml:space="preserve">39.</w:t>
      </w:r>
      <w:r>
        <w:rPr>
          <w:lang w:bidi="he-IL"/>
          <w:rFonts w:hint="cs" w:cs="FrankRuehl"/>
          <w:szCs w:val="26"/>
          <w:rtl/>
        </w:rPr>
        <w:tab/>
        <w:t xml:space="preserve">הופקד המחיר בידי הרשם כאמור בתקנה 37 או הומצאה לרשם הודעה על תשלום למציע כאמור בתקנה 38, יחולו על ביצוע העסקה ורישומה הוראות סימן א', בשינויים המחויבים.</w:t>
      </w:r>
    </w:p>
    <w:p>
      <w:pPr>
        <w:bidi/>
        <w:spacing w:before="70" w:after="5" w:line="250" w:lineRule="auto"/>
        <w:jc w:val="center"/>
      </w:pPr>
      <w:defaultTabStop w:val="720"/>
      <w:r>
        <w:rPr>
          <w:lang w:bidi="he-IL"/>
          <w:rFonts w:hint="cs" w:cs="FrankRuehl"/>
          <w:szCs w:val="26"/>
          <w:b/>
          <w:bCs/>
          <w:rtl/>
        </w:rPr>
        <w:t xml:space="preserve">סימן ז':רישום הסכם שיתוף, פירוק שיתוף או רישום זיקת הנאה</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הסכם שיתוף</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הסכם שיתוף כאמור בסעיף 29(א) לחוק יירשם על פי בקשה חתומה בידי כל בעלי הזכות המשותפת, ומאומתת בדרך שמאמתים שטר עסקה; לבקשה יצורף הסכם שיתוף חתום בידי כל הבעלים.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סימן א' יחולו על רישום הסכם שיתוף,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זיקת הנאה</w:t>
                </w:r>
              </w:p>
            </w:txbxContent>
          </v:textbox>
        </v:rect>
      </w:pict>
      <w:r>
        <w:rPr>
          <w:lang w:bidi="he-IL"/>
          <w:rFonts w:hint="cs" w:cs="FrankRuehl"/>
          <w:szCs w:val="34"/>
          <w:rtl/>
        </w:rPr>
        <w:t xml:space="preserve">41.</w:t>
      </w:r>
      <w:r>
        <w:rPr>
          <w:lang w:bidi="he-IL"/>
          <w:rFonts w:hint="cs" w:cs="FrankRuehl"/>
          <w:szCs w:val="26"/>
          <w:rtl/>
        </w:rPr>
        <w:tab/>
        <w:t xml:space="preserve">זיקת הנאה על פי חוזה תירשם בדרך שנרשמת עסקה והוראות סימן א' יחולו,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לעניין פירוק שיתוף דרך הפיכה לבית משותף</w:t>
                </w:r>
              </w:p>
            </w:txbxContent>
          </v:textbox>
        </v:rect>
      </w:pict>
      <w:r>
        <w:rPr>
          <w:lang w:bidi="he-IL"/>
          <w:rFonts w:hint="cs" w:cs="FrankRuehl"/>
          <w:szCs w:val="34"/>
          <w:rtl/>
        </w:rPr>
        <w:t xml:space="preserve">42.</w:t>
      </w:r>
      <w:r>
        <w:rPr>
          <w:lang w:bidi="he-IL"/>
          <w:rFonts w:hint="cs" w:cs="FrankRuehl"/>
          <w:szCs w:val="26"/>
          <w:rtl/>
        </w:rPr>
        <w:tab/>
        <w:t xml:space="preserve">המפקח ייתן חוות דעת כאמור בסעיף 42(א) לחוק, לאחר שהומצאו לו להנחת דעתו, מסמכים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החלטת בית המשפט שנתבקשה בה חוות הדעת;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תשריט הבית, מאושר על ידי מוסד תכנון, או תשריט אחר הנותן, תמונה נאמנה של הבית ודירותיו;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מסמך אחר הנחוץ לו למתן חוות הדעת.</w:t>
      </w:r>
    </w:p>
    <w:p>
      <w:pPr>
        <w:bidi/>
        <w:spacing w:before="70" w:after="5" w:line="250" w:lineRule="auto"/>
        <w:jc w:val="center"/>
      </w:pPr>
      <w:defaultTabStop w:val="720"/>
      <w:r>
        <w:rPr>
          <w:lang w:bidi="he-IL"/>
          <w:rFonts w:hint="cs" w:cs="FrankRuehl"/>
          <w:szCs w:val="26"/>
          <w:b/>
          <w:bCs/>
          <w:rtl/>
        </w:rPr>
        <w:t xml:space="preserve">סימן ח':רישום ראשון, חידוש רישום ותיקון שטח או גבולות</w:t>
      </w:r>
      <w:bookmarkStart w:name="h55" w:id="55"/>
      <w:bookmarkEnd w:id="55"/>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ראשון</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בקשה לרישום ראשון של מקרקעין תוגש למפקח באמצעות הרשם שבתחום לשכתו נמצאים אותם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תשריט המקרקעין שהכין מודד וכן בוקר ואושר לפי הוראות תקנות המודדים, חתום בידי כל בעלי הזכויות במקרקעין הסמוכים, כשהחתימות מאומתות בידי עורך דין; לא עלה בידי מגיש הבקשה להחתים את בעלי הזכויות במקרקעין הסמוכים כאמור, יצרף לבקשה תצהיר מפורט ומנומק בדבר הסיבות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טופס תיאור כללי של הקרקע חתום בידי המרכז למיפוי ישראל, שפורטו בו גבולות המקרקעין, להנחת דעתו של המפקח;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מרישום המקרקעין ברישומי מס רכוש וקרן פיצויים, או אישור של מנהל מס רכוש וקרן פיצויים או מטעמו כי המקרקעין אינם רשומים בפנקסיו; הוראות פסקה זו לא יחולו על בקשה המוגשת מטעם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מסמכים המוכיחים את זכויותיו של המבקש לגבי המקרקעין נושא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רשימה שפורטו בה שמו ומענו, ככל שהמען ידוע למבקש, של כל אדם שיש לו זכות במקרקעין סמוכים הטעונה רישום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רשימה המפרטת את שמו ומענו, ככל שהמען ידוע למבקש, של כל אדם, זולת המבקש, שיש לו זכות באותם מקרקעין הטעונה רישום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יגיש כל מסמך אחר הנחוץ, לדעת המפקח, למתן החלטה בבקשה.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לחידוש רישום</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בקשה לחידוש רישום תוגש למפקח באמצעות הרשם שבלשכתו היו רשומים המקרקעין לפני שהושמד או טושטש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נסח מהרישום הקודם של המקרקעין, שטר קניין, תעודת רישום או כל מסמך אחר המעיד על הרישום של המקרקעין לפני שהושמד או טושטש;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רשימה שפורטו בה שמו ומענו, ככל שהמען ידוע למבקש, של כל אדם שיש לו זכות באותם מקרקעין הטעונה רישום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תצהיר לאימות המסמכים האמורים בפסקה (1) והרשימה האמורה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מגיש הבקשה ימציא כל מסמך אחר הנחוץ, לדעת המפקח, למתן החלטה בבקשה.</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לתיקון שטח או גבולות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בקשה לתיקון רישום לא נכון של שטח או גבולות של מקרקעין לא מוסדרים, תוגש למפקח באמצעות הרשם שבלשכתו רשומים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יפורטו כל העובדות המשמשות יסוד לתיקון המבוקש ויצורפו 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תשריט המתאר את המקרקעין ואת התיקון המבוקש, שהוכן ונחתם בידי מודד, וכן בוקר ואושר ככשר לרישום לפי תקנות המודדים, החתום בידי כל בעלי המקרקעין הסמוכים, כשהחתימות מאומתות בידי עורך דין; לא עלה בידי מגיש הבקשה להחתים את בעלי הזכויות במקרקעין הסמוכים כאמור, יצרף לבקשה תצהיר מפורט ומנומק בדבר הסיבות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נסח מאושר מרישום המקרקעין בפנקסי מס רכוש וקרן פיצויים ובפנקסי הרשות המקומית שבתחומה נמצאים המקרקעין, או אישור מאת מנהל מס רכוש וקרן פיצויים וראש הרשות המקומית כי המקרקעין אינם רשומים בפנקסיהם;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רשימה שפורטו בה שמו ומענו של כל אדם, זולת המבקש, שיש לו זכות באותם 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רשימה שפורטו בה פרטי הרישום של כל המקרקעין הסמוכים וכן שמו ומענו של כל אדם שיש לו זכות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נסחי הרישום של המקרקעין הגובלים, ככל שאלה רשומים;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תצהיר לאימות העובדות שפורטו בכתב הבקשה והרשימות האמורות בפסקאות (3) ו-(4).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יגיש כל מסמך אחר הנחוץ, לדעת המפקח, למתן החלטה בבקשה.</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 לבעלי הזכויות</w:t>
                </w:r>
              </w:p>
            </w:txbxContent>
          </v:textbox>
        </v:rect>
      </w:pict>
      <w:r>
        <w:rPr>
          <w:lang w:bidi="he-IL"/>
          <w:rFonts w:hint="cs" w:cs="FrankRuehl"/>
          <w:szCs w:val="34"/>
          <w:rtl/>
        </w:rPr>
        <w:t xml:space="preserve">46.</w:t>
      </w:r>
      <w:r>
        <w:rPr>
          <w:lang w:bidi="he-IL"/>
          <w:rFonts w:hint="cs" w:cs="FrankRuehl"/>
          <w:szCs w:val="26"/>
          <w:rtl/>
        </w:rPr>
        <w:tab/>
        <w:t xml:space="preserve">נוסף על פרסום הודעה ברשומות, כאמור בסעיף 136(א) לחוק, יורה מפקח על מסירת הודעה על בקשה לפי סימן זה לכל אדם זולת המבקש שנכלל ברשימה שצורפה לבקשה כבעל זכות במקרקעין (בסימן זה – מעוניין), וכן ליועץ המשפטי לממשלה אם הבקשה לא הוגשה מטעם המדינה, ורשאי הוא להורות על פרסום הבקשה בעיתונים.</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התנגדות</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התנגדות לרישום, לחידוש רישום או לתיקון רישום מבוקש לפי תקנות 43 עד 45, תוגש בשני עותקים ובצירוף עותק אחד לכל מעוניין; הוגשה בקשה או התנגדות קודמת, על ידי כמה מבקשים או מתנגדים, לא יצורף אלא עותק אחד לכל אותם מבקשים או מתנגדים.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בכתב התנגדות יצוינו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של המתנגד, מספר זהותו, מענו ומען למסירת מסמכים;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הרצאה תמציתית של טענות המתנגדים.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כתב ההתנגדות יימסר מטעם המפקח לכל מעוניין.</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צו רישום במקרה שלא הוגשה התנגדות</w:t>
                </w:r>
              </w:p>
            </w:txbxContent>
          </v:textbox>
        </v:rect>
      </w:pict>
      <w:r>
        <w:rPr>
          <w:lang w:bidi="he-IL"/>
          <w:rFonts w:hint="cs" w:cs="FrankRuehl"/>
          <w:szCs w:val="34"/>
          <w:rtl/>
        </w:rPr>
        <w:t xml:space="preserve">48.</w:t>
      </w:r>
      <w:r>
        <w:rPr>
          <w:lang w:bidi="he-IL"/>
          <w:rFonts w:hint="cs" w:cs="FrankRuehl"/>
          <w:szCs w:val="26"/>
          <w:rtl/>
        </w:rPr>
        <w:tab/>
        <w:t xml:space="preserve">תמה התקופה להגשת התנגדות שנקבעה בסעיף 136(ב) לחוק, ולא הוגשה התנגדות, ושוכנע המפקח כי מן הדין הוא לרשום את המקרקעין, לחדש את רישומם או לתקן את הרישום הקיים, כמבוקש, ייתן צו לרישומם, לחידוש רישומם או לתיקון הרישום, לפי העניין.</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כשהוגשה התנגדות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תמה התקופה להגשת התנגדות שנקבעה בסעיף 136(ב) לחוק, והוגשה התנגדות, יקבע מפקח מועד לדיון ויזמין את המבקש והמתנגד.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הדיון ישמע מפקח תחילה את טענות המתנגד ולאחר מכן את טענות המבקש; המפקח רשאי, ככל שהדבר ייראה לו דרוש, להתיר למתנגד להשיב לטענות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המפקח רשאי, בכל שלב של הליכים לפי סימן זה, להורות על הגשת טענות בכתב, נוסף על הטענות בעל פה או במקומן.</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המפקח</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שמע המפקח את טענות המתנגד וראה כי אין בהן לכאורה כדי להצדיק את דחיית הבקשה, הוא רשאי לתת את הצו לרישום המקרקעין כמבוקש בלי לשמוע את טענות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הדיון רשאי המפקח לתת צו לרישום המקרקעין, לחידוש הרישום או לתיקון הרישום הקיים, לפי העניין, או לדחות את הבקשה.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ההחלטה</w:t>
                </w:r>
              </w:p>
            </w:txbxContent>
          </v:textbox>
        </v:rect>
      </w:pict>
      <w:r>
        <w:rPr>
          <w:lang w:bidi="he-IL"/>
          <w:rFonts w:hint="cs" w:cs="FrankRuehl"/>
          <w:szCs w:val="34"/>
          <w:rtl/>
        </w:rPr>
        <w:t xml:space="preserve">51.</w:t>
      </w:r>
      <w:r>
        <w:rPr>
          <w:lang w:bidi="he-IL"/>
          <w:rFonts w:hint="cs" w:cs="FrankRuehl"/>
          <w:szCs w:val="26"/>
          <w:rtl/>
        </w:rPr>
        <w:tab/>
        <w:t xml:space="preserve">החלטה מנומקת של המפקח תימסר למבקש ולמתנגדים סמוך ככל האפשר לאחר מתן ההחלטה.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הצו</w:t>
                </w:r>
              </w:p>
            </w:txbxContent>
          </v:textbox>
        </v:rect>
      </w:pict>
      <w:r>
        <w:rPr>
          <w:lang w:bidi="he-IL"/>
          <w:rFonts w:hint="cs" w:cs="FrankRuehl"/>
          <w:szCs w:val="34"/>
          <w:rtl/>
        </w:rPr>
        <w:t xml:space="preserve">52.</w:t>
      </w:r>
      <w:r>
        <w:rPr>
          <w:lang w:bidi="he-IL"/>
          <w:rFonts w:hint="cs" w:cs="FrankRuehl"/>
          <w:szCs w:val="26"/>
          <w:rtl/>
        </w:rPr>
        <w:tab/>
        <w:t xml:space="preserve">בצו לרישום מקרקעין, לחידוש הרישום או לתיקון הרישום הקיים לפי סימן זה יפורטו כל הפרטים שייכללו ברישום המקרקעין, ברישומם מחדש או בתיקון הרישום הקיים ובכלל זה הפרטים בדבר הבעלות, זכויות החכירה, המשכנתאות, זיקות ההנאה וכל שאר הזכויות הנרשמות בפנקסים.</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הרישום</w:t>
                </w:r>
              </w:p>
            </w:txbxContent>
          </v:textbox>
        </v:rect>
      </w:pict>
      <w:r>
        <w:rPr>
          <w:lang w:bidi="he-IL"/>
          <w:rFonts w:hint="cs" w:cs="FrankRuehl"/>
          <w:szCs w:val="34"/>
          <w:rtl/>
        </w:rPr>
        <w:t xml:space="preserve">53.</w:t>
      </w:r>
      <w:r>
        <w:rPr>
          <w:lang w:bidi="he-IL"/>
          <w:rFonts w:hint="cs" w:cs="FrankRuehl"/>
          <w:szCs w:val="26"/>
          <w:rtl/>
        </w:rPr>
        <w:tab/>
        <w:t xml:space="preserve">ניתן צו לפי סימן זה, ואין ערר עוד או ערעור עליו, יעבירנו המפקח לרשם והרשם ירשום את המקרקעין לפי הוראות הצו.</w:t>
      </w:r>
    </w:p>
    <w:p>
      <w:pPr>
        <w:bidi/>
        <w:spacing w:before="70" w:after="5" w:line="250" w:lineRule="auto"/>
        <w:jc w:val="center"/>
      </w:pPr>
      <w:defaultTabStop w:val="720"/>
      <w:r>
        <w:rPr>
          <w:lang w:bidi="he-IL"/>
          <w:rFonts w:hint="cs" w:cs="FrankRuehl"/>
          <w:szCs w:val="26"/>
          <w:b/>
          <w:bCs/>
          <w:rtl/>
        </w:rPr>
        <w:t xml:space="preserve">סימן ט':רישום בית משותף, תיקון הרישום וביטולו</w:t>
      </w:r>
      <w:bookmarkStart w:name="h67" w:id="67"/>
      <w:bookmarkEnd w:id="67"/>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לרישום בפנקס הבתים המשותפים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בקשה לרישום בית בפנקס הבתים המשותפים תוגש למפקח שבתחום לשכתו נכללים המקרקעין שלגביהם מוגשת הבקשה, בשני עותקים זולת אם הורה המפקח להגישה במספר עותקים גדול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תשריט הבית, מאושר על ידי מוסד תכנון, או תשריט אחר הנותן, להנחת דעתו של המפקח, תמונה נאמנה של הבית ודירותיו;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תקנון הבית או הודעה שהמבקשים מאמצים את התקנון המצוי;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המלצה למינוי נציגות זמנית לבית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מסמך אחר הנחוץ, לדעת המפקח, למתן החלטה בבקשה.</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צו רישום</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ראה המפקח כי התקיימו כל התנאים למתן צו רישום כמפורט בסעיף 143 לחוק, וכי הבית ראוי להירשם בפנקס הבתים המשותפים כאמור בסעיף 142 לחוק ייתן את צו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בצו הרישום יציין המפקח אם הבית נרשם על סמך תשריט מאושר על ידי מוסד התכנון או על סמך תשריט אחר כאמור בתקנה 54(ב)(1).</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צו</w:t>
                </w:r>
              </w:p>
            </w:txbxContent>
          </v:textbox>
        </v:rect>
      </w:pict>
      <w:r>
        <w:rPr>
          <w:lang w:bidi="he-IL"/>
          <w:rFonts w:hint="cs" w:cs="FrankRuehl"/>
          <w:szCs w:val="34"/>
          <w:rtl/>
        </w:rPr>
        <w:t xml:space="preserve">56.</w:t>
      </w:r>
      <w:r>
        <w:rPr>
          <w:lang w:bidi="he-IL"/>
          <w:rFonts w:hint="cs" w:cs="FrankRuehl"/>
          <w:szCs w:val="26"/>
          <w:rtl/>
        </w:rPr>
        <w:tab/>
        <w:t xml:space="preserve">נתן המפקח צו רישום כאמור בתקנה 55, צו לתיקון צו רישום כאמור בתקנה 59, או צו לביטול רישום כאמור בתקנה 60, ואין עוד ערר או ערעור עליו, יעבירו לרשם, והרשם ירשום את הצו בפנקסים לפי הוראות צו הרישום; במועד רישום צו רישום כאמור בתקנה 55 או צו לתיקון צו רישום, כאמור בתקנה 59 ירשום הרשם בפנקס הבתים המשותפים, לגבי כל חלקה בבית המשותף, או לגבי כל חלקה בבית המשותף שהצו לתיקון צו רישום מתייחס אליה, לפי העניין, אם הצו ניתן על סמך תשריט מאושר על ידי מוסד התכנון או על סמך תשריט אחר כאמור בתקנה 54(ב)(1).</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משותף המורכב מבתים אחדים</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הוגשה למפקח בקשה לרשום שני בתים או יותר כבית משותף אחד, כאמור בסעיף 142(ב) לחוק, וראה המפקח כי מהתשריט שצורף לבקשה נובע, על פני הדברים, שהחלקה או החלקות שעליהן הוקמו הבתים אינן ניתנות לחלוקה כאמור באותו סעיף, ייתן צו רישום, ובלבד שנתמלאו התנאים האחרים למתן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ראה המפקח כאמור בתקנת משנה (א), יורה למבקש להמציא את הבקשה למוסד התכנון שבתחום סמכותו נמצאים המקרקעין שלגביהם הוגשה הבקשה, ולא ייתן צו רישום כמבוקש אלא אם כן קבע מוסד התכנון כי החלקה או החלקות אינן ניתנות לחלוקה כאמור בסעיף 142(ב)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 מוסד התכנון כי החלקה או החלקות אינן ניתנו לחלוקה כאמור, ייתן המפקח את צו הרישום, ובלבד שנתמלאו התנאים האחרים למתן הצו.</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לתיקון צו רישום</w:t>
                </w:r>
              </w:p>
            </w:txbxContent>
          </v:textbox>
        </v:rect>
      </w:pict>
      <w:r>
        <w:rPr>
          <w:lang w:bidi="he-IL"/>
          <w:rFonts w:hint="cs" w:cs="FrankRuehl"/>
          <w:szCs w:val="34"/>
          <w:rtl/>
        </w:rPr>
        <w:t xml:space="preserve">58.</w:t>
      </w:r>
      <w:r>
        <w:rPr>
          <w:lang w:bidi="he-IL"/>
          <w:rFonts w:hint="cs" w:cs="FrankRuehl"/>
          <w:szCs w:val="26"/>
          <w:rtl/>
        </w:rPr>
        <w:tab/>
        <w:t xml:space="preserve">בעל דירה או בעל זכות בדירה, המבקש תיקון צו הרישום, יצרף לבקשתו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תשריט הבית, כולו או חלקו, כפי שיורה מפקח, מאושר על ידי מוסד תכנון; מפקח רשאי, מטעמים מיוחדים, להתיר צירוף של תשריט אחר, הנותן להנחת דעתו תמונה נאמנה של הבית המשותף על דירותיו או חלקו,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העתק של הבקשה בעבור כל בעל דירה ובעל זכות בדירה בבית המשותף, זולת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מסמך אחר הנחוץ, לדעת המפקח, למתן החלטה בבקשה.</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טענות והחלטת המפקח בבקשה לתיקון צו רישום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הוגשה בקשה לתיקון צו רישום בפנקס הבתים המשותפים, ימסור המפקח הודעה על כך לפי העניין, לכל בעל דירה ולכל בעל זכות בדירה, זולת המבקש, ויציין בה כי באפשרותו לטעון את טענותיו לבקשה ויצרף אליה העתק מהבקשה.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דירה רשאי, בתוך חמישה עשר ימים מהיום שבו נמסרה לו ההודעה, להגיש למפקח טענות בכתב בקשר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המפקח ידון בבקשה ובטענות שהוגשו לו, אם הוגשו, על סמך החומר בכתב שהוגש לו, בלי לשמוע את הצדדים, ואולם הוא רשאי, מטעמים מיוחדים, להורות על קיום דיון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לאחר הדיון בטענות כאמור בתקנת משנה (ג) או עם תום המועד להגשת טענות – אם לא הוגשו, ייתן המפקח צו לתיקון צו הרישום או ידחה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כללה הבקשה לתיקון צו הרישום תשריט מתוקן, יחולו על הצו לתיקון צו הרישום הוראות תקנה 55(ב),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הרישום בפנקס הבתים המשותפים</w:t>
                </w:r>
              </w:p>
            </w:txbxContent>
          </v:textbox>
        </v:rect>
      </w:pict>
      <w:r>
        <w:rPr>
          <w:lang w:bidi="he-IL"/>
          <w:rFonts w:hint="cs" w:cs="FrankRuehl"/>
          <w:szCs w:val="34"/>
          <w:rtl/>
        </w:rPr>
        <w:t xml:space="preserve">60.</w:t>
      </w:r>
      <w:r>
        <w:rPr>
          <w:lang w:bidi="he-IL"/>
          <w:rFonts w:hint="cs" w:cs="FrankRuehl"/>
          <w:szCs w:val="26"/>
          <w:rtl/>
        </w:rPr>
        <w:tab/>
        <w:t xml:space="preserve">בעלי הדירות בבית משותף המבקשים כולם לבטל את רישומו של הבית בפנקס הבתים המשותפים, יצרפו לבקשתם העתק מהבקשה בעבור כל בעל זכות בדירה מדירות הבית המשותף, זולת בעלי הדירות.</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טענות בהליך לביטול הרישום</w:t>
                </w:r>
              </w:p>
            </w:txbxContent>
          </v:textbox>
        </v:rect>
      </w:pict>
      <w:r>
        <w:rPr>
          <w:lang w:bidi="he-IL"/>
          <w:rFonts w:hint="cs" w:cs="FrankRuehl"/>
          <w:szCs w:val="34"/>
          <w:rtl/>
        </w:rPr>
        <w:t xml:space="preserve">61.</w:t>
      </w:r>
      <w:r>
        <w:rPr>
          <w:lang w:bidi="he-IL"/>
          <w:rFonts w:hint="cs" w:cs="FrankRuehl"/>
          <w:szCs w:val="26"/>
          <w:rtl/>
        </w:rPr>
        <w:tab/>
        <w:t xml:space="preserve">הוגשה בקשה לביטול הרישום בפנקס הבתים המשותפים, כאמור בתקנה 60, או שהמפקח התכוון לבטל את הרישום מיוזמתו משראה שהבית אינו ראוי עוד לרישום בפנקס כאמור בסעיף 146 לחוק, ימסור המפקח הודעה על כך לכל בעל דירה ולכל בעל זכות בדירה, ומשעשה כן יחולו הוראות תקנה 59,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בית שבבעלות משותפת</w:t>
                </w:r>
              </w:p>
            </w:txbxContent>
          </v:textbox>
        </v:rect>
      </w:pict>
      <w:r>
        <w:rPr>
          <w:lang w:bidi="he-IL"/>
          <w:rFonts w:hint="cs" w:cs="FrankRuehl"/>
          <w:szCs w:val="34"/>
          <w:rtl/>
        </w:rPr>
        <w:t xml:space="preserve">62.</w:t>
      </w:r>
      <w:r>
        <w:rPr>
          <w:lang w:bidi="he-IL"/>
          <w:rFonts w:hint="cs" w:cs="FrankRuehl"/>
          <w:szCs w:val="26"/>
          <w:rtl/>
        </w:rPr>
        <w:tab/>
        <w:t xml:space="preserve">משהוגשה בקשה לרישום בית הנמצא בבעלות משותפת של כמה בני אדם, רשאי מפקח, לאחר שהומצאו לו הוכחות כאמור בתקנה 9(ג)(2) עד (4), לצוות בצו הרישום על העברת חלקים בלתי מסוימים בדירות משותף לשותף.</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בעלות לחוכר</w:t>
                </w:r>
              </w:p>
            </w:txbxContent>
          </v:textbox>
        </v:rect>
      </w:pict>
      <w:r>
        <w:rPr>
          <w:lang w:bidi="he-IL"/>
          <w:rFonts w:hint="cs" w:cs="FrankRuehl"/>
          <w:szCs w:val="34"/>
          <w:rtl/>
        </w:rPr>
        <w:t xml:space="preserve">63.</w:t>
      </w:r>
      <w:r>
        <w:rPr>
          <w:lang w:bidi="he-IL"/>
          <w:rFonts w:hint="cs" w:cs="FrankRuehl"/>
          <w:szCs w:val="26"/>
          <w:rtl/>
        </w:rPr>
        <w:tab/>
        <w:t xml:space="preserve">המפקח רשאי בצו הרישום, לצוות כי הבעלות בדירה שהיתה מוחכרת לחוכר ערב הרישום תירשם בשם החוכר כאמור בסעיף 143(ג) לחוק, אם נתבקש לכך על ידי הבעל והחוכר ואם שוכנע כי ביטול החכירה והעברת הבעלות נעשים עקב הרישום בפנקס הבתים המשותפים בלבד.</w:t>
      </w:r>
    </w:p>
    <w:p>
      <w:pPr>
        <w:bidi/>
        <w:spacing w:before="70" w:after="5" w:line="250" w:lineRule="auto"/>
        <w:jc w:val="center"/>
      </w:pPr>
      <w:defaultTabStop w:val="720"/>
      <w:r>
        <w:rPr>
          <w:lang w:bidi="he-IL"/>
          <w:rFonts w:hint="cs" w:cs="FrankRuehl"/>
          <w:szCs w:val="26"/>
          <w:b/>
          <w:bCs/>
          <w:rtl/>
        </w:rPr>
        <w:t xml:space="preserve">סימן י':חלוקה, פיצול ואיחוד</w:t>
      </w:r>
      <w:bookmarkStart w:name="h78" w:id="78"/>
      <w:bookmarkEnd w:id="78"/>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64.</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"חלוקה חדשה" – כמשמעותה בסימן ז' לפרק ג' לחוק התכנון ולרבות איחוד כמשמעותו בסימן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"פעולת תכנון" – חלוקה, פיצול או איחוד של חלקות כמשמעותן בפרק ד' לחוק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לצורכי רישום", "טבלת הקצאה", "טבלת הקצאה ואיזון" – כמשמעותם בתקנות התכנון והבנייה (תכנית איחוד וחלוקה), התשס"ט-2009.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תלת-ממדית לצורכי רישום" – כהגדרתה בתקנות המדידות (מדידות ומיפוי), התשע"ו-2016.</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חלקה  תלת-ממדית במקרקעין מוסדרים</w:t>
                </w:r>
              </w:p>
            </w:txbxContent>
          </v:textbox>
        </v:rect>
      </w:pict>
      <w:r>
        <w:rPr>
          <w:lang w:bidi="he-IL"/>
          <w:rFonts w:hint="cs" w:cs="FrankRuehl"/>
          <w:szCs w:val="34"/>
          <w:rtl/>
        </w:rPr>
        <w:t xml:space="preserve">64א.</w:t>
      </w:r>
      <w:r>
        <w:rPr>
          <w:lang w:bidi="he-IL"/>
          <w:rFonts w:hint="cs" w:cs="FrankRuehl"/>
          <w:szCs w:val="26"/>
          <w:rtl/>
        </w:rPr>
        <w:tab/>
        <w:t xml:space="preserve">חלקה תלת-ממדית תירשם במקרקעין מוסדרים, כהגדרתם בחוק, בלבד.</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פעולת תכנון</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רישום פעולת תכנון ייעשה על סמך בקשה החתומה בידי כל בעלי המקרקעין שבתחומם מתבצעת אותה פעולה; חתימת הבעלים תאומת בידי מי שהוסמך לפי סימן א' לאמת חתימה על 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תכנית לצורכי רישום או תכנית תלת-ממדית לצורכי רישום, לפי העניין, הכוללת את המקרקעין שמבוצעת בהם פעולת התכנון, מאושרת בהתאם לחוק התכנון וחתומה בידי יושב ראש מוסד התכנון המאשר כתואמת את התכנית שקבעה את ההוראות בדבר פעולת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לצורכי רישום או תכנית תלת-ממדית לצורכי רישום, לפי העניין, הכוללת את המקרקעין שמבוצעת בהם פעולת התכנון, ומאושרת ככשרה לרישום על פי פקודת המדידות;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במקרקעין לא מוסדרים – טופס תיאור כללי של הקרקע המתייחס למקרקעין שמבוצעת בהם פעולת התכנון, חתום בידי מי שמוסמך לכך במרכז למיפוי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סדר פעולות, הכולל את הפעולות המבוקשות לביצוע ולרישום על פי סדרן, בהתאמה לתכנית לצורכי רישום כאמור בפסקה (1), וכן הוראות בדבר ייחוד שעבוד או ייחוד זיקות הנאה, לפי הצורך; רשם רשאי לפטור מחובת הגשת מסמך כאמור, אם ראה כי בנסיבות המקרה ראוי וצודק לעשות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מסמך אחר הדרוש למתן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את התכניות לצורכי רישום המנויות בתקנת משנה (ב)(1) ו-(2) ניתן להגיש על גבי תשריט אחד.</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חלוקה חדשה</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רישום חלוקה חדשה ייעשה על פי בקשה החתומה ביד יושב ראש מוסד התכנון שאישר את החלוקה, ויצורפו לה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סדר פעולות האיחוד והחלוקה, הכולל את פירוט הפעולות על פי סדרן בהתאמה לתכנית לצורכי רישום כאמור בפסקה (5) וכן הוראות בדבר ייחוד שעבוד וייחוד או ביטול זיקות הנאה, בהתאם לצורך;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ותשריט התכנית שקבעה את ההוראות בדבר האיחוד והחלוקה, ובכלל זה הוראות בדבר רישום זיקות הנאה ושעבודים אחרים, וכן הוראות ליצירת מגרש תלת-ממדי או איחוד וחלוקה של חלקה תלת-ממדית בתחום התכנית, הנושאים חותמת בדבר אישורם על ידי מוסד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טבלת ההקצאה או טבלת הקצאה והאיזון של התכנית שקבעה את ההוראות בדבר האיחוד והחלוקה, לפי העניין, הנושאת חותמת של מוסד התכנון בדבר אישורה;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תכנית לצורכי רישום או תכנית תלת-ממדית לצורכי רישום, לפי העניין, הכוללת את המקרקעין שמבוצעת בהם החלוקה החדשה, ומאושרת בהתאם לחוק התכנון והחתומה ביד יושב ראש מוסד התכנון כתואמת את התכנית שקבעה את ההוראות בדבר האיחוד והחלוקה;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תכנית לצורכי רישום או תכנית תלת-ממדית לצורכי רישום, לפי העניין, הכוללת את המקרקעין שמבוצעת בהם החלוקה החדשה, ומאושרת ככשרה לרישום על פי פקודת המדידות;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מסמך אחר הדרוש למתן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את התכניות לצורכי רישום או התכניות התלת-ממדיות לצורכי רישום, המנויות בתקנת משנה (א)(4) ו-(5) ניתן להגיש על גבי תשריט אחד.</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היו המקרקעין שמבוצעת בהם פעולת תכנון או חלוקה החדשה, לפי העניין, מוחכרים או משועבדים במשכנתה או בזיקת הנאה או בזכות קדימה, או כפופים להערה שנרשמה, יפרט הרשם את הפרטים בדבר רישומן של זכויות או הערות כאמור בחלקה או בחלקות שייווצרו לאחר רישום פעולת התכנון או החלוקה החדשה,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המקרקעין שמבוצעת בהם פעולת התכנון או החלוקה החדשה, לפי העניין, רשומים בפנקס הבתים המשותפים, יפרט מפקח את הפרטים בדבר רישומו או תיקונו של צו הרישום בפנקס הבתים המשותפים, והוא רשאי להורות על הגשת תשריט מתוקן של הבית המשותף, בחלקה או בחלקות שייווצרו לאחר רישום פעולת התכנון או החלוקה החדשה,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הוקצו מקרקעין לפי טבלת הקצאה ואיזון, לפי טבלת הקצאה, או בהתאם לפעולת התכנון, לפי העניין, וקודם לרישום פעולת התכנון או החלוקה החדשה הועברה לאחר הבעלות בהם, כולה או חלקה, ונרשמה בפנקסי המקרקעין, יבוא הבעלים הרשום בפנקסי המקרקעין במקום הבעלים הרשום בטבלאות האמורות, והחלוקה החדשה תירשם בהתאם, וכפי שיורה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בכפוף להוראות סימן זה, משראה רשם כי הומצאו כל המסמכים הדרושים לרישום פעולת התכנון או החלוקה החדשה, וכי אין מניעה לרישומה, ירשום את פעולת התכנון או החלוקה החדשה כפי שאושרה.</w:t>
      </w:r>
    </w:p>
    <w:p>
      <w:pPr>
        <w:bidi/>
        <w:spacing w:before="70" w:after="5" w:line="250" w:lineRule="auto"/>
        <w:jc w:val="center"/>
      </w:pPr>
      <w:defaultTabStop w:val="720"/>
      <w:r>
        <w:rPr>
          <w:lang w:bidi="he-IL"/>
          <w:rFonts w:hint="cs" w:cs="FrankRuehl"/>
          <w:szCs w:val="26"/>
          <w:b/>
          <w:bCs/>
          <w:rtl/>
        </w:rPr>
        <w:t xml:space="preserve">סימן י"א:ביטול רישומים</w:t>
      </w:r>
      <w:bookmarkStart w:name="h84" w:id="84"/>
      <w:bookmarkEnd w:id="84"/>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מחוברים שנרשמו בנפרד מהקרקע</w:t>
                </w:r>
              </w:p>
            </w:txbxContent>
          </v:textbox>
        </v:rect>
      </w:pict>
      <w:r>
        <w:rPr>
          <w:lang w:bidi="he-IL"/>
          <w:rFonts w:hint="cs" w:cs="FrankRuehl"/>
          <w:szCs w:val="34"/>
          <w:rtl/>
        </w:rPr>
        <w:t xml:space="preserve">68.</w:t>
      </w:r>
      <w:r>
        <w:rPr>
          <w:lang w:bidi="he-IL"/>
          <w:rFonts w:hint="cs" w:cs="FrankRuehl"/>
          <w:szCs w:val="26"/>
          <w:rtl/>
        </w:rPr>
        <w:tab/>
        <w:t xml:space="preserve">ראה רשם כי מבנים או נטיעות רשומים בנפרד מן הקרקע על שם אדם אחד, יורה על ביטול הרישום וירשום את המבנים או הנטיעות והקרקע כיחידה אחת.</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 זכויות</w:t>
                </w:r>
              </w:p>
            </w:txbxContent>
          </v:textbox>
        </v:rect>
      </w:pict>
      <w:r>
        <w:rPr>
          <w:lang w:bidi="he-IL"/>
          <w:rFonts w:hint="cs" w:cs="FrankRuehl"/>
          <w:szCs w:val="34"/>
          <w:rtl/>
        </w:rPr>
        <w:t xml:space="preserve">69.</w:t>
      </w:r>
      <w:r>
        <w:rPr>
          <w:lang w:bidi="he-IL"/>
          <w:rFonts w:hint="cs" w:cs="FrankRuehl"/>
          <w:szCs w:val="26"/>
          <w:rtl/>
        </w:rPr>
        <w:tab/>
        <w:t xml:space="preserve">ראה רשם כי זכות במקרקעין מוזגה בזכות אחרת שבאותם המקרקעין, רשאי הוא למזג את הרישומים.</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זכות רשומה</w:t>
                </w:r>
              </w:p>
            </w:txbxContent>
          </v:textbox>
        </v:rect>
      </w:pict>
      <w:r>
        <w:rPr>
          <w:lang w:bidi="he-IL"/>
          <w:rFonts w:hint="cs" w:cs="FrankRuehl"/>
          <w:szCs w:val="34"/>
          <w:rtl/>
        </w:rPr>
        <w:t xml:space="preserve">70.</w:t>
      </w:r>
      <w:r>
        <w:rPr>
          <w:lang w:bidi="he-IL"/>
          <w:rFonts w:hint="cs" w:cs="FrankRuehl"/>
          <w:szCs w:val="26"/>
          <w:rtl/>
        </w:rPr>
        <w:tab/>
        <w:t xml:space="preserve">מפקח רשאי, על פי בקשת צד מעוניין או על פי הודעת רשם, ולאחר שנתן הזדמנות לכל אדם שזכותו עלולה להיפגע מכך להביא לפניו את טענותיו וראיותיו, לבטל רישום בפנקסים, אם נוכח שהזכות הרשומה פקעה, בין מכוח דין ובין משום שהסתיימה התקופה שנקבעה לתוקפו של הרישום ובין בשל מאורע שנקבע כמפקיע תוקפו של רישום.</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רישום בידי הצדדים</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רישום ניתן לביטול על פי בקשת הצדדים, ובלבד שחתמו על שטר ביטול בדרך שחותמים על שטר 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מפקח רשאי להורות על ביטולו של הרישום על פי בקשתו של בעל הזכות המתבטלת בלבד, אם ראה כי בנסיבות המקרה יהיה זה צודק ויעיל לעשות כן, ובתנאים שהורה;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רשם רשאי להורות על ביטול הרישום של משכנתה על פי בקשת בעל המשכנתה שהוא תאגיד בנקאי כהגדרתו בחוק הבנקאות (רישוי), התשמ"א-1981.</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הפקעת משכנתה בעקבות הפקדה</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ממשכן המבקש לפדות את חובו על ידי הפקדת המגיע ממנו בידי הרשם והפקעת המשכנתה, כאמור בסעיף 89 לחוק, יגיש לרשם בקשה על כך ויצרף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שטר המשכנתה או העתק מאושר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ראיות לסירובו של בעל המשכנתה לקבל את החוב מהממשכן, או לאי-יכולתו של הממשכן לסלק את החוב לבעל המשכנתה אף שנקט צעדים סבירים לעשות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ראיה על סכום החוב וכל סכום אחר המגיע לבעל המשכנתה לפי תנאיה או המחאה להנחת דעתו של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הממשכן יפקיד על פי הוראת הרשם את המגיע ממנו לפי תקנת משנה (א)(3) לפי הוראות החשב הכללי במשרד האוצר או מי שהוא הסמיכו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רשם ימסור הודעה לבעל המשכנתה על ההפקדה ויזמינו להופיע בלשכה לקבלת המופקד ולחתימת שטר פדיון המשכנתה בתוך תקופה שנקבעה בהודעה ושלא תפחת מחמישה עשר ימים; לא היה מענו של בעל המשכנתה ידוע לרשם, יפרסם הרשם את ההודעה בשני עיתונים יומיים, ויכול הרשם לפטור מחובת הפרסום כאמור אם ראה שבנסיבות המקרה יהיה זה צודק ויעיל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הופיע בעל המשכנתה בתוך התקופה שנקבעה בהודעה, ישלם לו הרשם את המגיע לו ויחתימו על שטר פדיון המשכנתה; לא הופיע כאמור או שהופיע אך סירב לחתום על השטר, וראה הרשם כי אין מניעה להפקעת המשכנתה, לא בדין ולא בתנאי המשכנתה או ברישום בפנקסים, יורה על הפקעתה ומחיקתה בהתאם לכך.</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עיקולים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בקשה למחיקת עיקול כאמור בסעיף 157א לחוק יגיש מי שהעיקול נרשם לזכותו (בתקנה זו – הזוכה) או בעל הזכות המעוקלת.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מהודעת העיקול מאושר כמתאים למקור על ידי לשכת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הבקשה על ידי בעל הזכות המעוקלת בלבד – כתב הסכמה החתום ביד הזוכה, מאומת בידי עורך דין בדרך שמאמתים שטר עסקה, או תצהיר של בעל הזכות המעוקלת המפרט את הסיבות שבעטיין לא היה ניתן לקבל את הסכמת הזוכה, לרבות הניסיונות שנעשו לאתר את 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מסמך אחר הדרוש, להנחת דעתו של הרשם, למתן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הרשם למחוק את העיקול, ישלח הודעה על כך לזוכה, ארבעים וחמישה ימים לפחות לפני המחיקה; החליט הרשם כאמור על סמך בקשה שלא צורף לה כתב הסכמה כאמור בתקנת משנה (ב), בשל חוסר אפשרות לאתר את הזוכה, והשתכנע הרשם כי נעשו מאמצים סבירים לאתר את מענו, יורה הרשם על פרסום הודעה כאמור בשני עיתונים יומיים, ארבעים וחמישה ימים לפחות לפני המחיקה.</w:t>
      </w:r>
    </w:p>
    <w:p>
      <w:pPr>
        <w:bidi/>
        <w:spacing w:before="70" w:after="5" w:line="250" w:lineRule="auto"/>
        <w:jc w:val="center"/>
      </w:pPr>
      <w:defaultTabStop w:val="720"/>
      <w:r>
        <w:rPr>
          <w:lang w:bidi="he-IL"/>
          <w:rFonts w:hint="cs" w:cs="FrankRuehl"/>
          <w:szCs w:val="26"/>
          <w:b/>
          <w:bCs/>
          <w:rtl/>
        </w:rPr>
        <w:t xml:space="preserve">פרק ד':עררים</w:t>
      </w:r>
      <w:bookmarkStart w:name="h91" w:id="91"/>
      <w:bookmarkEnd w:id="91"/>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התקופה לערר לממונה</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התקופה להגשת ערר לממונה על החלטת רשם או מפקח, כאמור בסעיף 121 לחוק, היא חמישה עשר ימים מן היום שנמסרה ההחלטה לעורר, ואם לא נמסרה לו – מן היום שהגיעה לידיעתו.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מטעמים שיירשמו, להאריך את המועד הקבוע בתקנת משנה (א).</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סיכומים נוספים</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הממונה רשאי לבקש מכל צד בערר שיגיש לו סיכומים נוספים של טענותיו בכתב או בעל פה, בנושאים שהממונה יורה, נוסף על החומר שהיה לפני הרשם או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סיכומים נוספים שהוגשו כאמור בתקנת משנה (א), יובאו לידיעת שאר הצדדים בערר, ואם הם מוגשים בעל פה לא יישמעו אלא אם כן הוזמנו שאר הצדדים להיות נוכחים בעת השמעתם, וניתנה להם ההזדמנות להעיר את הערותיהם.</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התקופה לערעור לבית המשפט</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התקופה לערעור לבית המשפט המחוזי על החלטת הממונה, כאמור בסעיף 122 לחוק, היא חמישה עשר ימים מיום שנמסרה ההחלטה למערער, ואם לא נמסרה לו – מן היום שבו הגיעה לידיעתו.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החלטה בערר לפי סימן זה, ואין עוד ערעור עליה, יעביר אותה הממונה לרשם והרשם יפעל לפי ההחלטה, ככל הנדרש.</w:t>
      </w:r>
    </w:p>
    <w:p>
      <w:pPr>
        <w:bidi/>
        <w:spacing w:before="70" w:after="5" w:line="250" w:lineRule="auto"/>
        <w:jc w:val="center"/>
      </w:pPr>
      <w:defaultTabStop w:val="720"/>
      <w:r>
        <w:rPr>
          <w:lang w:bidi="he-IL"/>
          <w:rFonts w:hint="cs" w:cs="FrankRuehl"/>
          <w:szCs w:val="26"/>
          <w:b/>
          <w:bCs/>
          <w:rtl/>
        </w:rPr>
        <w:t xml:space="preserve">פרק ה':בתים משותפים ובתים שאינם רשומים כבתים משותפים</w:t>
      </w:r>
      <w:bookmarkStart w:name="h95" w:id="95"/>
      <w:bookmarkEnd w:id="95"/>
    </w:p>
    <w:p>
      <w:pPr>
        <w:bidi/>
        <w:spacing w:before="70" w:after="5" w:line="250" w:lineRule="auto"/>
        <w:jc w:val="center"/>
      </w:pPr>
      <w:defaultTabStop w:val="720"/>
      <w:r>
        <w:rPr>
          <w:lang w:bidi="he-IL"/>
          <w:rFonts w:hint="cs" w:cs="FrankRuehl"/>
          <w:szCs w:val="26"/>
          <w:b/>
          <w:bCs/>
          <w:rtl/>
        </w:rPr>
        <w:t xml:space="preserve">סימן א':יישוב סכסוכים</w:t>
      </w:r>
      <w:bookmarkStart w:name="h96" w:id="96"/>
      <w:bookmarkEnd w:id="96"/>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77.</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 הליך משפטי לפני מפקח להכרעה בסכסוך לפי סימן ד' של פרק ו' ופרק ו'1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התשמ"ד-1984.</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סדר הדין האזרחי</w:t>
                </w:r>
              </w:p>
            </w:txbxContent>
          </v:textbox>
        </v:rect>
      </w:pict>
      <w:r>
        <w:rPr>
          <w:lang w:bidi="he-IL"/>
          <w:rFonts w:hint="cs" w:cs="FrankRuehl"/>
          <w:szCs w:val="34"/>
          <w:rtl/>
        </w:rPr>
        <w:t xml:space="preserve">78.</w:t>
      </w:r>
      <w:r>
        <w:rPr>
          <w:lang w:bidi="he-IL"/>
          <w:rFonts w:hint="cs" w:cs="FrankRuehl"/>
          <w:szCs w:val="26"/>
          <w:rtl/>
        </w:rPr>
        <w:tab/>
        <w:t xml:space="preserve">תקנות סדר הדין האזרחי יחולו, בשינויים המחויבים, על סדרי הדין בהליך לפי סימן זה בכל עניין שלא נקבעה לגביו הוראה אחרת בחוק או בתקנות אלה.</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התביעה</w:t>
                </w:r>
              </w:p>
            </w:txbxContent>
          </v:textbox>
        </v:rect>
      </w:pict>
      <w:r>
        <w:rPr>
          <w:lang w:bidi="he-IL"/>
          <w:rFonts w:hint="cs" w:cs="FrankRuehl"/>
          <w:szCs w:val="34"/>
          <w:rtl/>
        </w:rPr>
        <w:t xml:space="preserve">79.</w:t>
      </w:r>
      <w:r>
        <w:rPr>
          <w:lang w:bidi="he-IL"/>
          <w:rFonts w:hint="cs" w:cs="FrankRuehl"/>
          <w:szCs w:val="26"/>
          <w:rtl/>
        </w:rPr>
        <w:tab/>
        <w:t xml:space="preserve">התביעה תוגש למפקח הממונה על הלשכה שרשום בה או עשוי להירשם בה הבית כבית משותף.</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התביעה</w:t>
                </w:r>
              </w:p>
            </w:txbxContent>
          </v:textbox>
        </v:rect>
      </w:pict>
      <w:r>
        <w:rPr>
          <w:lang w:bidi="he-IL"/>
          <w:rFonts w:hint="cs" w:cs="FrankRuehl"/>
          <w:szCs w:val="34"/>
          <w:rtl/>
        </w:rPr>
        <w:t xml:space="preserve">80.</w:t>
      </w:r>
      <w:r>
        <w:rPr>
          <w:lang w:bidi="he-IL"/>
          <w:rFonts w:hint="cs" w:cs="FrankRuehl"/>
          <w:szCs w:val="26"/>
          <w:rtl/>
        </w:rPr>
        <w:tab/>
        <w:t xml:space="preserve">כתב התביעה יכיל את הפרטים כאמור בתקנות סדר הדין האזרחי, וכן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כתובת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הגוש והחלקה;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מספר המבנים בבית;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מספר הדירות בכל מבנה;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מספר הכניסות.</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תקנון לכתב התביעה בבית שאינו רשום כבית משותף</w:t>
                </w:r>
              </w:p>
            </w:txbxContent>
          </v:textbox>
        </v:rect>
      </w:pict>
      <w:r>
        <w:rPr>
          <w:lang w:bidi="he-IL"/>
          <w:rFonts w:hint="cs" w:cs="FrankRuehl"/>
          <w:szCs w:val="34"/>
          <w:rtl/>
        </w:rPr>
        <w:t xml:space="preserve">81.</w:t>
      </w:r>
      <w:r>
        <w:rPr>
          <w:lang w:bidi="he-IL"/>
          <w:rFonts w:hint="cs" w:cs="FrankRuehl"/>
          <w:szCs w:val="26"/>
          <w:rtl/>
        </w:rPr>
        <w:tab/>
        <w:t xml:space="preserve">לכתב תביעה בסכסוך בבית שאינו רשום כבית משותף יצורפו בין השאר עותק של התקנון המוסכם, כאשר התביעה מבוססת על תקנון מוסכם בין בעלי הדירות.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w:t>
                </w:r>
              </w:p>
            </w:txbxContent>
          </v:textbox>
        </v:rect>
      </w:pict>
      <w:r>
        <w:rPr>
          <w:lang w:bidi="he-IL"/>
          <w:rFonts w:hint="cs" w:cs="FrankRuehl"/>
          <w:szCs w:val="34"/>
          <w:rtl/>
        </w:rPr>
        <w:t xml:space="preserve">82.</w:t>
      </w:r>
      <w:r>
        <w:rPr>
          <w:lang w:bidi="he-IL"/>
          <w:rFonts w:hint="cs" w:cs="FrankRuehl"/>
          <w:szCs w:val="26"/>
          <w:rtl/>
        </w:rPr>
        <w:tab/>
        <w:t xml:space="preserve">מפקח רשאי למזג תביעות התלויות ועומדות לפניו, לדון בהן במשותף ולתת החלטה אחת בכולן, אם התביעות נוגעות לאותו בית משותף או לאותו בית שאינו רשום כבית משותף.</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התקופה לערעור</w:t>
                </w:r>
              </w:p>
            </w:txbxContent>
          </v:textbox>
        </v:rect>
      </w:pict>
      <w:r>
        <w:rPr>
          <w:lang w:bidi="he-IL"/>
          <w:rFonts w:hint="cs" w:cs="FrankRuehl"/>
          <w:szCs w:val="34"/>
          <w:rtl/>
        </w:rPr>
        <w:t xml:space="preserve">83.</w:t>
      </w:r>
      <w:r>
        <w:rPr>
          <w:lang w:bidi="he-IL"/>
          <w:rFonts w:hint="cs" w:cs="FrankRuehl"/>
          <w:szCs w:val="26"/>
          <w:rtl/>
        </w:rPr>
        <w:tab/>
        <w:t xml:space="preserve">התקופה לערעור לבית המשפט המחוזי על החלטת המפקח לפי סימן זה היא ארבעים וחמישה ימים מן היום שהומצאה בו ההחלטה למערער.</w:t>
      </w:r>
    </w:p>
    <w:p>
      <w:pPr>
        <w:bidi/>
        <w:spacing w:before="70" w:after="5" w:line="250" w:lineRule="auto"/>
        <w:jc w:val="center"/>
      </w:pPr>
      <w:defaultTabStop w:val="720"/>
      <w:r>
        <w:rPr>
          <w:lang w:bidi="he-IL"/>
          <w:rFonts w:hint="cs" w:cs="FrankRuehl"/>
          <w:szCs w:val="26"/>
          <w:b/>
          <w:bCs/>
          <w:rtl/>
        </w:rPr>
        <w:t xml:space="preserve">סימן ב':ניהול ופיקוח</w:t>
      </w:r>
      <w:bookmarkStart w:name="h104" w:id="104"/>
      <w:bookmarkEnd w:id="104"/>
    </w:p>
    <w:p>
      <w:pPr>
        <w:bidi/>
        <w:spacing w:before="45" w:after="50" w:line="250" w:lineRule="auto"/>
        <w:ind/>
        <w:jc w:val="both"/>
        <w:tabs>
          <w:tab w:pos="720"/>
          <w:tab w:pos="1440"/>
          <w:tab w:pos="2160"/>
          <w:tab w:pos="2880"/>
          <w:tab w:pos="3600"/>
        </w:tabs>
        <w:ind w:start="1440" w:hanging="144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תקנון לבית משותף</w:t>
                </w:r>
              </w:p>
            </w:txbxContent>
          </v:textbox>
        </v:rect>
      </w:pict>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בקשה לרישום תקנון מוסכם לבית משותף או לשינוי הוראות התקנון, תוגש למפקח בין אגב בקשה לרישום הבית בפנקס הבתים המשותפים או לתיקון הרישום ובין בבקשה נפרדת.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חתימה על בקשה לפי תקנה זו תאומת בדרך שמאמתים חתימה על שטר 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המפקח, כי עורכי התקנון זכאים לבקש את רישום התקנון או השינוי, וכי אין מניעה לרישום התקנון או השינוי, יאשר את הבקשה ויורה על רישום התקנון או השינוי בפנקס הבתים המשותפים ועל תיקון הצו, לפי העניין.</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נציגויות נפרדות למבנים או לאגפים</w:t>
                </w:r>
              </w:p>
            </w:txbxContent>
          </v:textbox>
        </v:rect>
      </w:pict>
      <w:r>
        <w:rPr>
          <w:lang w:bidi="he-IL"/>
          <w:rFonts w:hint="cs" w:cs="FrankRuehl"/>
          <w:szCs w:val="34"/>
          <w:rtl/>
        </w:rPr>
        <w:t xml:space="preserve">85.</w:t>
      </w:r>
      <w:r>
        <w:rPr>
          <w:lang w:bidi="he-IL"/>
          <w:rFonts w:hint="cs" w:cs="FrankRuehl"/>
          <w:szCs w:val="26"/>
          <w:rtl/>
        </w:rPr>
        <w:tab/>
        <w:t xml:space="preserve">קבעו בעלי הדירות בתקנון נציגויות נפרדות ואסיפות כלליות נפרדות למבנים או לאגפים, יקבעו בו בעלי הדירות הוראות בדבר חלוקת הסמכויות בין הנציגות הכוללת ובין הנציגויות הנפרדות וכן את דרכי כינונן של הנציגות הכוללת והנציגויות הנפרדות.</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סכסוך בבית משותף שנהרס</w:t>
                </w:r>
              </w:p>
            </w:txbxContent>
          </v:textbox>
        </v:rect>
      </w:pict>
      <w:r>
        <w:rPr>
          <w:lang w:bidi="he-IL"/>
          <w:rFonts w:hint="cs" w:cs="FrankRuehl"/>
          <w:szCs w:val="34"/>
          <w:rtl/>
        </w:rPr>
        <w:t xml:space="preserve">86.</w:t>
      </w:r>
      <w:r>
        <w:rPr>
          <w:lang w:bidi="he-IL"/>
          <w:rFonts w:hint="cs" w:cs="FrankRuehl"/>
          <w:szCs w:val="26"/>
          <w:rtl/>
        </w:rPr>
        <w:tab/>
        <w:t xml:space="preserve">ציווה המפקח, לפי סעיף 60(ב) לחוק, על בעל הדירה בבית משותף שנהרס להעביר את זכותו למי שקבעו בעלי הדירות המשקמים את הבית, או למי שציווה המפקח, ונתגלעו חילוקי דעות לגבי שווי הזכות, יקבע המפקח את שווי הזכות לאחר שקיבל חוות דעת מאת שמאי ממשלתי.</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108" w:id="108"/>
      <w:bookmarkEnd w:id="108"/>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סוגי מקרקעין</w:t>
                </w:r>
              </w:p>
            </w:txbxContent>
          </v:textbox>
        </v:rect>
      </w:pict>
      <w:r>
        <w:rPr>
          <w:lang w:bidi="he-IL"/>
          <w:rFonts w:hint="cs" w:cs="FrankRuehl"/>
          <w:szCs w:val="34"/>
          <w:rtl/>
        </w:rPr>
        <w:t xml:space="preserve">87.</w:t>
      </w:r>
      <w:r>
        <w:rPr>
          <w:lang w:bidi="he-IL"/>
          <w:rFonts w:hint="cs" w:cs="FrankRuehl"/>
          <w:szCs w:val="26"/>
          <w:rtl/>
        </w:rPr>
        <w:tab/>
        <w:t xml:space="preserve">הממונה יקבע את הנוהל למחיקת רישום סוגי מקרקעין שהיו קיימים מכוח החקיקה העותמנית.</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עסקאות במקרקעי יעוד</w:t>
                </w:r>
              </w:p>
            </w:txbxContent>
          </v:textbox>
        </v:rect>
      </w:pict>
      <w:r>
        <w:rPr>
          <w:lang w:bidi="he-IL"/>
          <w:rFonts w:hint="cs" w:cs="FrankRuehl"/>
          <w:szCs w:val="34"/>
          <w:rtl/>
        </w:rPr>
        <w:t xml:space="preserve">88.</w:t>
        <w:tab/>
      </w:r>
      <w:r>
        <w:rPr>
          <w:lang w:bidi="he-IL"/>
          <w:rFonts w:hint="cs" w:cs="FrankRuehl"/>
          <w:szCs w:val="26"/>
          <w:rtl/>
        </w:rPr>
        <w:t xml:space="preserve">(א)</w:t>
      </w:r>
      <w:r>
        <w:rPr>
          <w:lang w:bidi="he-IL"/>
          <w:rFonts w:hint="cs" w:cs="FrankRuehl"/>
          <w:szCs w:val="26"/>
          <w:rtl/>
        </w:rPr>
        <w:tab/>
        <w:t xml:space="preserve">בקשה לפי סעיף 111 לחוק לאשר עסקה במקרקעי ייעוד או התחייבות לעשות עסקה כאמור, תוגש בארבעה העתקים לממונה על המרשם; בבקשה יפורטו הייעוד שמשמשים לו המקרקעין, המניעים המחייבים אישור העסקה או ההתחייבות והצעדים הננקטים להבטחת ייעודם של המקרקעין; לבקשה יצורפו תשריט המקרקעין וטיוטת ההסכם או ההתחייבות לעשיית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יעביר לשר שני עותקים מהבקשה עם צרופותיה, בצירוף הערותיו.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השר את החלטתו בבקשה, יודיע אותה לממונה על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"השר" – השר שקבעה הממשלה לצורך אישור עסקה או התחייבות כאמור בסעיף 111 לחוק, אם קבעה, באופן כללי או לעניין מסוים.</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בכתב</w:t>
                </w:r>
              </w:p>
            </w:txbxContent>
          </v:textbox>
        </v:rect>
      </w:pict>
      <w:r>
        <w:rPr>
          <w:lang w:bidi="he-IL"/>
          <w:rFonts w:hint="cs" w:cs="FrankRuehl"/>
          <w:szCs w:val="34"/>
          <w:rtl/>
        </w:rPr>
        <w:t xml:space="preserve">89.</w:t>
      </w:r>
      <w:r>
        <w:rPr>
          <w:lang w:bidi="he-IL"/>
          <w:rFonts w:hint="cs" w:cs="FrankRuehl"/>
          <w:szCs w:val="26"/>
          <w:rtl/>
        </w:rPr>
        <w:tab/>
        <w:t xml:space="preserve">כל החלטה או הוראה אחרת של הממונה, של מפקח או של רשם, תהיה בכתב ותכלול הנמקה ממצה.</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90.</w:t>
        <w:tab/>
      </w:r>
      <w:r>
        <w:rPr>
          <w:lang w:bidi="he-IL"/>
          <w:rFonts w:hint="cs" w:cs="FrankRuehl"/>
          <w:szCs w:val="26"/>
          <w:rtl/>
        </w:rPr>
        <w:t xml:space="preserve">(א)</w:t>
      </w:r>
      <w:r>
        <w:rPr>
          <w:lang w:bidi="he-IL"/>
          <w:rFonts w:hint="cs" w:cs="FrankRuehl"/>
          <w:szCs w:val="26"/>
          <w:rtl/>
        </w:rPr>
        <w:tab/>
        <w:t xml:space="preserve">הממונה רשאי להורות על טפסים לבקשות, לשטרות, לצווים ולמסמכים אחרים הנערכים לעניין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להורות כי טופס מסוים יוגש לרישום על גבי נייר מיוחד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להורות כי בקשה או מסמך יוגשו בצירוף עותק מהם כשהוא סרוק בסריקה ממוחשבת, כהגדרתה בתקנה 3 לתקנות העדות (העתקים צילומיים), התש"ל-1969 (להלן – סריקה ממוחשבת) וחתום בחתימה אלקטרונית מאושרת.</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בפנקסים</w:t>
                </w:r>
              </w:p>
            </w:txbxContent>
          </v:textbox>
        </v:rect>
      </w:pict>
      <w:r>
        <w:rPr>
          <w:lang w:bidi="he-IL"/>
          <w:rFonts w:hint="cs" w:cs="FrankRuehl"/>
          <w:szCs w:val="34"/>
          <w:rtl/>
        </w:rPr>
        <w:t xml:space="preserve">91.</w:t>
        <w:tab/>
      </w:r>
      <w:r>
        <w:rPr>
          <w:lang w:bidi="he-IL"/>
          <w:rFonts w:hint="cs" w:cs="FrankRuehl"/>
          <w:szCs w:val="26"/>
          <w:rtl/>
        </w:rPr>
        <w:t xml:space="preserve">(א)</w:t>
      </w:r>
      <w:r>
        <w:rPr>
          <w:lang w:bidi="he-IL"/>
          <w:rFonts w:hint="cs" w:cs="FrankRuehl"/>
          <w:szCs w:val="26"/>
          <w:rtl/>
        </w:rPr>
        <w:tab/>
        <w:t xml:space="preserve">כל אדם המבקש לעיין בפנקסים יגיש בקשה לעיון שיצוינו בה, בין השאר, פרטי המקרקעין שלגביהם מבוקש העיון, וישלם את האגרה שנקבעה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עיון בפנקסים ייעשה באמצעות צפייה במידע על רישום נכס או זכות בפנקסי המקרקעין, לרבות באמצעות עיון מקוון באמצעות מחשב.</w:t>
      </w:r>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נסחים</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כל אדם המבקש לקבל נסח מהרשום בפנקסים יגיש בקשה לרשם או בדרך אחרת שעליה יורה הממונה, שיצוינו בה, בין השאר, פרטי המקרקעין שלגביהם מבוקש נסח הרישום, וישלם את האגרה שנקבעה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קבלת הנסח יכול שתהיה במסירת תצלום, פלט או מסר אלקטרוני מאושרים בידי רשם או חתומים בחתימה אלקטרונית מאובטחת, כפי שיורה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התקבל נסח מקוון החתום בחתימה אלקטרונית מאושרת, לא יראו פלט נייר שלו כהעתק נאמן של הנסח; פלט נייר כאמור של נסח לא יהיה קביל בכל הליך שיפוטי להוכחת זכויות במקרקעין.</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באוסף תעודות וקבלת עותקים מאושרים</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המבקש לעיין במסמכים ששימשו יסוד לרישום בפנקס (להלן – אוסף תעודות) או לקבל עותק מאושר מהם, יגיש בקשה, ויפרט בה את העניין שיש לו באוסף התעודות.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הרשם כי המבקש קשור במישרין לאוסף התעודות ושהעיון בו אינו עלול לפגוע באחר, יאשר את הבקשה ויפרט את התעודות שבהן רשאי המבקש לעיין או שמהן הוא רשאי לקבל עותק מאושר.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עותק מאושר מאוסף תעודות יכול שיינתן בצילום מאושר של המקור או בהעתק מקוון של התעודות לאחר שהן נסרקו בסריקה ממוחשבת ונחתמו בחתימה אלקטרונית מאובטחת.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יראו פלט נייר של העתק מקוון כאמור בתקנת משנה (ג), כהעתק נאמן למקור של אוסף התעודות, והוא לא יהיה קביל בכל הליך שיפוטי להוכחת זכויות במקרקעין.</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מרשם לרשם</w:t>
                </w:r>
              </w:p>
            </w:txbxContent>
          </v:textbox>
        </v:rect>
      </w:pict>
      <w:r>
        <w:rPr>
          <w:lang w:bidi="he-IL"/>
          <w:rFonts w:hint="cs" w:cs="FrankRuehl"/>
          <w:szCs w:val="34"/>
          <w:rtl/>
        </w:rPr>
        <w:t xml:space="preserve">94.</w:t>
      </w:r>
      <w:r>
        <w:rPr>
          <w:lang w:bidi="he-IL"/>
          <w:rFonts w:hint="cs" w:cs="FrankRuehl"/>
          <w:szCs w:val="26"/>
          <w:rtl/>
        </w:rPr>
        <w:tab/>
        <w:t xml:space="preserve">רשם רשאי, מטעמים מיוחדים, להעביר לרשם אחר את סמכותו לבצע את הרישום וכן את סמכותו לאמת את חתימתו של צד לעסקה.</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טעויות</w:t>
                </w:r>
              </w:p>
            </w:txbxContent>
          </v:textbox>
        </v:rect>
      </w:pict>
      <w:r>
        <w:rPr>
          <w:lang w:bidi="he-IL"/>
          <w:rFonts w:hint="cs" w:cs="FrankRuehl"/>
          <w:szCs w:val="34"/>
          <w:rtl/>
        </w:rPr>
        <w:t xml:space="preserve">95.</w:t>
      </w:r>
      <w:r>
        <w:rPr>
          <w:lang w:bidi="he-IL"/>
          <w:rFonts w:hint="cs" w:cs="FrankRuehl"/>
          <w:szCs w:val="26"/>
          <w:rtl/>
        </w:rPr>
        <w:tab/>
        <w:t xml:space="preserve">רשם רשאי לצוות על תיקון טעויות סופר שקרו ברישום, לרבות טעויות כאמור שנפלו מחמת טעות במסמכים ששימשו יסוד לאותו רישום.</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בעיתונים</w:t>
                </w:r>
              </w:p>
            </w:txbxContent>
          </v:textbox>
        </v:rect>
      </w:pict>
      <w:r>
        <w:rPr>
          <w:lang w:bidi="he-IL"/>
          <w:rFonts w:hint="cs" w:cs="FrankRuehl"/>
          <w:szCs w:val="34"/>
          <w:rtl/>
        </w:rPr>
        <w:t xml:space="preserve">96.</w:t>
      </w:r>
      <w:r>
        <w:rPr>
          <w:lang w:bidi="he-IL"/>
          <w:rFonts w:hint="cs" w:cs="FrankRuehl"/>
          <w:szCs w:val="26"/>
          <w:rtl/>
        </w:rPr>
        <w:tab/>
        <w:t xml:space="preserve">נדרש פרסום בעיתונים בחוק או בתקנות אלה, לרבות בהחלטה של הממונה, מפקח או רשם,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הפרסום יהיה בשפה, בנוסח ובעיתונים כפי שיורה הממונה או מי שהוסמך להורות על הפרסום,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הפרסום ייעשה על ידי המבקש ועל חשבונו, זולת אם מי שמוסמך להורות על הפרסום קבע אחרת.</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w:t>
                </w:r>
              </w:p>
            </w:txbxContent>
          </v:textbox>
        </v:rect>
      </w:pict>
      <w:r>
        <w:rPr>
          <w:lang w:bidi="he-IL"/>
          <w:rFonts w:hint="cs" w:cs="FrankRuehl"/>
          <w:szCs w:val="34"/>
          <w:rtl/>
        </w:rPr>
        <w:t xml:space="preserve">97.</w:t>
      </w:r>
      <w:r>
        <w:rPr>
          <w:lang w:bidi="he-IL"/>
          <w:rFonts w:hint="cs" w:cs="FrankRuehl"/>
          <w:szCs w:val="26"/>
          <w:rtl/>
        </w:rPr>
        <w:tab/>
        <w:t xml:space="preserve">בלי לגרוע מהוראות כל דין, רשאי מפקח, לפי שיקול דעתו, בהליך כאמור בסימנים ח' וט' בפרק ג' לעיל, לקבוע כי מבקש או מתנגד ישלמו הוצאות, לרבות שכר טרחת עורך דין, לטובת צד או צדדים אחרים בהליך.</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98.</w:t>
      </w:r>
      <w:r>
        <w:rPr>
          <w:lang w:bidi="he-IL"/>
          <w:rFonts w:hint="cs" w:cs="FrankRuehl"/>
          <w:szCs w:val="26"/>
          <w:rtl/>
        </w:rPr>
        <w:tab/>
        <w:t xml:space="preserve">תקנות המקרקעין (ניהול ורישום), התש"ל-1969 – בטלות.</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99.</w:t>
      </w:r>
      <w:r>
        <w:rPr>
          <w:lang w:bidi="he-IL"/>
          <w:rFonts w:hint="cs" w:cs="FrankRuehl"/>
          <w:szCs w:val="26"/>
          <w:rtl/>
        </w:rPr>
        <w:tab/>
        <w:t xml:space="preserve">תחילתן של תקנות אלה ביום ו' בטבת התשע"ב (1 בינואר 2012), והן יחולו על בקשות שהוגשו ועל הליכים שהחלו לאחר 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המקרקעין (ניהול ורישום), תשע"ב-2011,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ec4114d316447f7" /><Relationship Type="http://schemas.openxmlformats.org/officeDocument/2006/relationships/header" Target="/word/header1.xml" Id="r97" /><Relationship Type="http://schemas.openxmlformats.org/officeDocument/2006/relationships/footer" Target="/word/footer1.xml" Id="r98" /></Relationships>
</file>