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35f6edee8084e4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(טיפול והשגחה) (סדרי דין), תשל"א-1970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סדר הדין האזרחי התשע"ט-2018</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עקרון יסוד</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דין</w:t>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המשיבים בבקשה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לאפוטרופוס לדין</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קיומו של צו</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לבקשה בכתב</w:t>
                </w:r>
              </w:p>
            </w:tc>
            <w:tc>
              <w:tcPr>
                <w:tcW w:w="800" w:type="pct"/>
              </w:tcPr>
              <w:p>
                <w:pPr>
                  <w:bidi/>
                  <w:spacing w:before="45" w:after="5" w:line="250" w:lineRule="auto"/>
                </w:pPr>
                <w:defaultTabStop w:val="720"/>
                <w:r>
                  <w:rPr>
                    <w:lang w:bidi="he-IL"/>
                    <w:rFonts w:hint="cs" w:cs="Times New Roman"/>
                    <w:szCs w:val="24"/>
                    <w:rtl/>
                  </w:rPr>
                  <w:t xml:space="preserve">סעיף 4ג</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התייצבות המשיבים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הודאת המשיבים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עובד סוציאלי לחוק הנוער ושמיעת הצעות וטענות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בדלתיים סגורות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בעת עדות קטין ושמיעת קטין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הגשת ערעור</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בערעור</w:t>
                </w:r>
              </w:p>
            </w:tc>
            <w:tc>
              <w:tcPr>
                <w:tcW w:w="800" w:type="pct"/>
              </w:tcPr>
              <w:p>
                <w:pPr>
                  <w:bidi/>
                  <w:spacing w:before="45" w:after="5" w:line="250" w:lineRule="auto"/>
                </w:pPr>
                <w:defaultTabStop w:val="720"/>
                <w:r>
                  <w:rPr>
                    <w:lang w:bidi="he-IL"/>
                    <w:rFonts w:hint="cs" w:cs="Times New Roman"/>
                    <w:szCs w:val="24"/>
                    <w:rtl/>
                  </w:rPr>
                  <w:t xml:space="preserve">סעיף 11ב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בערעור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בכתב לערעור</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הבאת ראיות נוספות</w:t>
                </w:r>
              </w:p>
            </w:tc>
            <w:tc>
              <w:tcPr>
                <w:tcW w:w="800" w:type="pct"/>
              </w:tcPr>
              <w:p>
                <w:pPr>
                  <w:bidi/>
                  <w:spacing w:before="45" w:after="5" w:line="250" w:lineRule="auto"/>
                </w:pPr>
                <w:defaultTabStop w:val="720"/>
                <w:r>
                  <w:rPr>
                    <w:lang w:bidi="he-IL"/>
                    <w:rFonts w:hint="cs" w:cs="Times New Roman"/>
                    <w:szCs w:val="24"/>
                    <w:rtl/>
                  </w:rPr>
                  <w:t xml:space="preserve">סעיף 12ב</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שאינו בהתאם להוראות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הוצאות</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תקנות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הנוער (טיפול והשגחה) (סדרי דין), תשל"א-1970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סמכויותי לפי סעיף 30 לחוק הנוער (טיפול והשגחה), תש"ך-1960 (להלן – החוק), וסעיף 109 לחוק בתי המשפט [נוסח משולב], התשמ"ד-1984, ובתוקף 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סדר הדין האזרחי התשע"ט-2018</w:t>
                </w:r>
              </w:p>
            </w:txbxContent>
          </v:textbox>
        </v:rect>
      </w:pict>
      <w:r>
        <w:rPr>
          <w:lang w:bidi="he-IL"/>
          <w:rFonts w:hint="cs" w:cs="FrankRuehl"/>
          <w:szCs w:val="34"/>
          <w:rtl/>
        </w:rPr>
        <w:t xml:space="preserve">1.</w:t>
      </w:r>
      <w:r>
        <w:rPr>
          <w:lang w:bidi="he-IL"/>
          <w:rFonts w:hint="cs" w:cs="FrankRuehl"/>
          <w:szCs w:val="26"/>
          <w:rtl/>
        </w:rPr>
        <w:tab/>
        <w:t xml:space="preserve">בדיון בבית משפט בעניינים לפי החוק, יחולו תקנות סדר הדין האזרחי, התשע"ט-2018 (להלן – תקנות סדר הדין האזרחי), המפורטות להלן, בשינויים המחויבים לפי העניין: 1 עד 3(א), 4, 29 רישה, 30, 32, 40(א), 46, 47, 49(ח), 50(1) – לעניין האסמכתאות ולעניין תצהיר בכפוף לתקנה 7א, (4), ו-(6), 51, 55, 64(ב), 67(א), 67(ג), 68 עד 74, 76, 77, 83 עד 86, 88 עד 91, 129, 132, 133, 134(א)(1) ו-(2), 136, 140(ב) ו-(ג), 144 עד 145(ג), 146, 148 עד 150, 156, 158 עד 174, 175א(א) עד (ו), 176 עד 178, 179(א).</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עקרון יסוד</w:t>
                </w:r>
              </w:p>
            </w:txbxContent>
          </v:textbox>
        </v:rect>
      </w:pict>
      <w:r>
        <w:rPr>
          <w:lang w:bidi="he-IL"/>
          <w:rFonts w:hint="cs" w:cs="FrankRuehl"/>
          <w:szCs w:val="34"/>
          <w:rtl/>
        </w:rPr>
        <w:t xml:space="preserve">1א.</w:t>
      </w:r>
      <w:r>
        <w:rPr>
          <w:lang w:bidi="he-IL"/>
          <w:rFonts w:hint="cs" w:cs="FrankRuehl"/>
          <w:szCs w:val="26"/>
          <w:rtl/>
        </w:rPr>
        <w:tab/>
        <w:t xml:space="preserve">בהליך לפי החוק, ישקול בית המשפט את טובתו של הילד ובכלל זה את מכלול זכויותיו, צרכיו והאינטרסים שלו, וכן את רצונו בהתחשב בגילו ובכשריו המתפתחים.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דין</w:t>
                </w:r>
              </w:p>
            </w:txbxContent>
          </v:textbox>
        </v:rect>
      </w:pict>
      <w:r>
        <w:rPr>
          <w:lang w:bidi="he-IL"/>
          <w:rFonts w:hint="cs" w:cs="FrankRuehl"/>
          <w:szCs w:val="34"/>
          <w:rtl/>
        </w:rPr>
        <w:t xml:space="preserve">1ב.</w:t>
      </w:r>
      <w:r>
        <w:rPr>
          <w:lang w:bidi="he-IL"/>
          <w:rFonts w:hint="cs" w:cs="FrankRuehl"/>
          <w:szCs w:val="26"/>
          <w:rtl/>
        </w:rPr>
        <w:tab/>
        <w:t xml:space="preserve">בכל עניין של סדרי דין שאין עליו הוראה אחרת לפי תקנות 2 עד 16, ינהג בית המשפט בדרך הנראית לו הטובה ביותר לעשיית משפט צדק.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הגשת בקשה</w:t>
                </w:r>
              </w:p>
            </w:txbxContent>
          </v:textbox>
        </v:rect>
      </w:pict>
      <w:r>
        <w:rPr>
          <w:lang w:bidi="he-IL"/>
          <w:rFonts w:hint="cs" w:cs="FrankRuehl"/>
          <w:szCs w:val="34"/>
          <w:rtl/>
        </w:rPr>
        <w:t xml:space="preserve">2.</w:t>
      </w:r>
      <w:r>
        <w:rPr>
          <w:lang w:bidi="he-IL"/>
          <w:rFonts w:hint="cs" w:cs="FrankRuehl"/>
          <w:szCs w:val="26"/>
          <w:rtl/>
        </w:rPr>
        <w:tab/>
        <w:t xml:space="preserve">בקשה לבית משפט לפי סעיף 3 לחוק (להלן – בקשה) תוגש לבית המשפט שבאזור שיפוטו מתגורר הקטין או נמצא בו אותה שעה או לבית המשפט שבאיזור שיפוטו מתגורר האחראי על הקטין או נמצא בו אותה שעה; אולם רשאי עובד סוציאלי לפי החוק (להלן בתקנות אלה – עובד סוציאלי לחוק הנוער) להגיש את הבקשה לבית משפט אחר אם, לדעתו, יהיה זה לטובת הקטין שאותו בית משפט ידון בבקשה.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תהא ערוכה לפי טופס 1 שבתוספת ותוגש לבית המשפט במספר העתקים מספיק בשביל בית המשפט וכל המשיבים; בית המשפט רשאי להורות למבקש להגיש העתקים נוספים של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תצורף הזמנה לדין בעד כל אחד מן המשיבים, שתהא ערוכה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ישלח לכל אחד מהמשיבים העתק הבקשה על נספחיה בצירוף ההזמנה לדין; אולם רשאי בית המשפט להורות שהבקשה או נספחיה או חלק מהם לא יצורפו להזמנה לדין שתישלח למשיבים או לחלק מהם.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המשיבים בבקשה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האחראי על הקטין יהיה המשיב בבקשה; הקטין לא יהיה משיב בבקשה אלא אם לדעת עובד סוציאלי לחוק הנוער הוא מסוגל לכאורה להבין את הענין וטובתו מחייבת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כי הקטין יהיה המשיב בבקשה אם נראה לבית המשפט כי הדבר דרוש לצורך ההכרעה בענין.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קטין משיב יומצאו לו כתבי בית-דין אישית זולת אם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לא נמצא אחראי על הקטין, או האחראי על הקטין הוא פסול דין או אדם הזקוק לאפוטרופסות, יצויין הדבר בבקשה ובית המשפט יהיה רשאי לשמוע את הבקשה ללא משיב או למנות אפוטרופוס לדין להיות משיב.</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לאפוטרופוס לדין</w:t>
                </w:r>
              </w:p>
            </w:txbxContent>
          </v:textbox>
        </v:rect>
      </w:pict>
      <w:r>
        <w:rPr>
          <w:lang w:bidi="he-IL"/>
          <w:rFonts w:hint="cs" w:cs="FrankRuehl"/>
          <w:szCs w:val="34"/>
          <w:rtl/>
        </w:rPr>
        <w:t xml:space="preserve">4א.</w:t>
      </w:r>
      <w:r>
        <w:rPr>
          <w:lang w:bidi="he-IL"/>
          <w:rFonts w:hint="cs" w:cs="FrankRuehl"/>
          <w:szCs w:val="26"/>
          <w:rtl/>
        </w:rPr>
        <w:tab/>
        <w:t xml:space="preserve">מונה לקטין אפוטרופוס לדין, יומצאו לו כתבי בית-דין.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קיומו של צו</w:t>
                </w:r>
              </w:p>
            </w:txbxContent>
          </v:textbox>
        </v:rect>
      </w:pict>
      <w:r>
        <w:rPr>
          <w:lang w:bidi="he-IL"/>
          <w:rFonts w:hint="cs" w:cs="FrankRuehl"/>
          <w:szCs w:val="34"/>
          <w:rtl/>
        </w:rPr>
        <w:t xml:space="preserve">4ב.</w:t>
      </w:r>
      <w:r>
        <w:rPr>
          <w:lang w:bidi="he-IL"/>
          <w:rFonts w:hint="cs" w:cs="FrankRuehl"/>
          <w:szCs w:val="26"/>
          <w:rtl/>
        </w:rPr>
        <w:tab/>
        <w:t xml:space="preserve">בכל הליך שיוגש לבית המשפט, יציין המבקש אם קיים צו בתוקף בעניינו של הקטין במועד הגשת הבקשה או שהיה צו כאמור בסמוך לפני כן, ויציין מהי מהות הצו ומה מועד פקיעתו.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לבקשה בכתב</w:t>
                </w:r>
              </w:p>
            </w:txbxContent>
          </v:textbox>
        </v:rect>
      </w:pict>
      <w:r>
        <w:rPr>
          <w:lang w:bidi="he-IL"/>
          <w:rFonts w:hint="cs" w:cs="FrankRuehl"/>
          <w:szCs w:val="34"/>
          <w:rtl/>
        </w:rPr>
        <w:t xml:space="preserve">4ג.</w:t>
      </w:r>
      <w:r>
        <w:rPr>
          <w:lang w:bidi="he-IL"/>
          <w:rFonts w:hint="cs" w:cs="FrankRuehl"/>
          <w:szCs w:val="26"/>
          <w:rtl/>
        </w:rPr>
        <w:tab/>
        <w:t xml:space="preserve">הוגשה תשובה לבקשה בכתב במועד שהורה עליו בית המשפט; בתשובתו יפרט המשיב את טיעוניו כולל אסמכתאות ויצרף לה תצהיר לשם אימות העובדות שביסוד התשובה.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התייצבות המשיבים</w:t>
                </w:r>
              </w:p>
            </w:txbxContent>
          </v:textbox>
        </v:rect>
      </w:pict>
      <w:r>
        <w:rPr>
          <w:lang w:bidi="he-IL"/>
          <w:rFonts w:hint="cs" w:cs="FrankRuehl"/>
          <w:szCs w:val="34"/>
          <w:rtl/>
        </w:rPr>
        <w:t xml:space="preserve">5.</w:t>
      </w:r>
      <w:r>
        <w:rPr>
          <w:lang w:bidi="he-IL"/>
          <w:rFonts w:hint="cs" w:cs="FrankRuehl"/>
          <w:szCs w:val="26"/>
          <w:rtl/>
        </w:rPr>
        <w:tab/>
        <w:t xml:space="preserve">רשאי בית המשפט לדון ולהחליט בבקשה אף אם לא התייצבו המשיבים, ובלבד שנוכח בית המשפט שהוזמנו כדין.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הודאת המשיבים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בית המשפט יסביר למשיבים את מהות הבקשה וישאל אם הם מודים בעובדות המפורטות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הודו המשיבים בעובדות המפורטות בבקשה, רשאי בית המשפט להחליט אם הקטין הוא נזקק.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הודו המשיבים בעובדות המפורטות בבקשה או בחלק מהן, יחליט בית המשפט על סדר הבאת הראיות ושמיעת הטענות.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עובד סוציאלי לחוק הנוער ושמיעת הצעות וטענות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נוכח בית המשפט כי הקטין הוא נזקק, יורה לעובד סוציאלי לחוק הנוער להגיש תסקיר הנוגע גם לדרכי הטיפול תוך מועד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תסקיר עובד סוציאלי לחוק הנוער, בין שנמסרו העתקים ממנו למשיבים או לחלק מהם ובין שלא, ישמע בית המשפט את טענותיהם והצעותיהם של בעלי הדין וכן של הקטין אם בית המשפט לא השתמש לגביו בסמכויותיו לפי סעיף 9 לחוק.</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w:t>
                </w:r>
              </w:p>
            </w:txbxContent>
          </v:textbox>
        </v:rect>
      </w:pict>
      <w:r>
        <w:rPr>
          <w:lang w:bidi="he-IL"/>
          <w:rFonts w:hint="cs" w:cs="FrankRuehl"/>
          <w:szCs w:val="34"/>
          <w:rtl/>
        </w:rPr>
        <w:t xml:space="preserve">7א.</w:t>
      </w:r>
      <w:r>
        <w:rPr>
          <w:lang w:bidi="he-IL"/>
          <w:rFonts w:hint="cs" w:cs="FrankRuehl"/>
          <w:szCs w:val="26"/>
          <w:rtl/>
        </w:rPr>
        <w:tab/>
        <w:t xml:space="preserve">הוגשה בקשה בכתב שלא לוותה בתסקיר עובד סוציאלי לחוק הנוער, יצורף לבקשה תצהיר לשם אימות העובדות שביסודה לפי תקנה 50(1) לתקנות סדר הדין האזרחי.</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בדלתיים סגורות</w:t>
                </w:r>
              </w:p>
            </w:txbxContent>
          </v:textbox>
        </v:rect>
      </w:pict>
      <w:r>
        <w:rPr>
          <w:lang w:bidi="he-IL"/>
          <w:rFonts w:hint="cs" w:cs="FrankRuehl"/>
          <w:szCs w:val="34"/>
          <w:rtl/>
        </w:rPr>
        <w:t xml:space="preserve">8.</w:t>
      </w:r>
      <w:r>
        <w:rPr>
          <w:lang w:bidi="he-IL"/>
          <w:rFonts w:hint="cs" w:cs="FrankRuehl"/>
          <w:szCs w:val="26"/>
          <w:rtl/>
        </w:rPr>
        <w:tab/>
        <w:t xml:space="preserve">הדיון יהיה בדלתיים סגורות ולא יהיה נוכח בשעת הדיון אלא מי שבית המשפט הרשהו להיות נוכח.</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בעת עדות קטין ושמיעת קטין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בית המשפט רשאי להורות כי לא יהיו נוכחים בשעת שמיעת הקטין אלא מי שבית המשפט הרשהו להיות נוכח; בית המשפט יערוך תרשומת של הדברים שהשמיע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דברים שהשמיע קטין כאמור בתקנת משנה (א) יהיו חסויים בפני כל אדם, למעט בית משפט שלערעור או מי שבית המשפט הרשהו להיות נוכח בשעת שמיעת הקטין; ואולם בית המשפט רשאי להחליט על גילוי הדברים שהשמיע הקטין, כולם או חלקם, אם הקטין הסכים לגילוי ובית המשפט מצא כי יהיה בגילוי כדי לקדם את טובת הקטין וכן רשאי הוא נוסף על אמור, לגלות את הדברים לעובד סוציאלי לחוק הנוער במקרים שמהם עולה חשש כי נעברה או עומדת להתבצע עבירה בקטין בנסיבות שבהן חלה חובת דיווח לפי סעיף 368ד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w:t>
                </w:r>
              </w:p>
            </w:txbxContent>
          </v:textbox>
        </v:rect>
      </w:pict>
      <w:r>
        <w:rPr>
          <w:lang w:bidi="he-IL"/>
          <w:rFonts w:hint="cs" w:cs="FrankRuehl"/>
          <w:szCs w:val="34"/>
          <w:rtl/>
        </w:rPr>
        <w:t xml:space="preserve">10.</w:t>
      </w:r>
      <w:r>
        <w:rPr>
          <w:lang w:bidi="he-IL"/>
          <w:rFonts w:hint="cs" w:cs="FrankRuehl"/>
          <w:szCs w:val="26"/>
          <w:rtl/>
        </w:rPr>
        <w:tab/>
        <w:t xml:space="preserve">החלטה שנתן בית המשפט על פי החוק ניתנת להוצאה לפועל גם אם לא הומצאה לבעלי הדין, זולת אם החליט בית המשפט אחרת.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w:t>
                </w:r>
              </w:p>
            </w:txbxContent>
          </v:textbox>
        </v:rect>
      </w:pict>
      <w:r>
        <w:rPr>
          <w:lang w:bidi="he-IL"/>
          <w:rFonts w:hint="cs" w:cs="FrankRuehl"/>
          <w:szCs w:val="34"/>
          <w:rtl/>
        </w:rPr>
        <w:t xml:space="preserve">11.</w:t>
      </w:r>
      <w:r>
        <w:rPr>
          <w:lang w:bidi="he-IL"/>
          <w:rFonts w:hint="cs" w:cs="FrankRuehl"/>
          <w:szCs w:val="26"/>
          <w:rtl/>
        </w:rPr>
        <w:tab/>
        <w:t xml:space="preserve">כל כתב בי-דין שיש להמציאו על פי תקנות אלה או על פי תקנות סדר הדין האזרחי יכול שהמצאתו תיעשה על ידי עובד סוציאלי לחוק הנוער.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הגשת ערעור</w:t>
                </w:r>
              </w:p>
            </w:txbxContent>
          </v:textbox>
        </v:rect>
      </w:pict>
      <w:r>
        <w:rPr>
          <w:lang w:bidi="he-IL"/>
          <w:rFonts w:hint="cs" w:cs="FrankRuehl"/>
          <w:szCs w:val="34"/>
          <w:rtl/>
        </w:rPr>
        <w:t xml:space="preserve">11א.</w:t>
      </w:r>
      <w:r>
        <w:rPr>
          <w:lang w:bidi="he-IL"/>
          <w:rFonts w:hint="cs" w:cs="FrankRuehl"/>
          <w:szCs w:val="26"/>
          <w:rtl/>
        </w:rPr>
        <w:tab/>
        <w:t xml:space="preserve">המועד להגשת ערעור על החלטה של בית המשפט לנוער או להגשת בקשת רשות ערעור על החלטת בית המשפט המחוזי, הוא שלושים ימים מיום שהומצאה.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בערעור</w:t>
                </w:r>
              </w:p>
            </w:txbxContent>
          </v:textbox>
        </v:rect>
      </w:pict>
      <w:r>
        <w:rPr>
          <w:lang w:bidi="he-IL"/>
          <w:rFonts w:hint="cs" w:cs="FrankRuehl"/>
          <w:szCs w:val="34"/>
          <w:rtl/>
        </w:rPr>
        <w:t xml:space="preserve">11ב.</w:t>
        <w:tab/>
      </w:r>
      <w:r>
        <w:rPr>
          <w:lang w:bidi="he-IL"/>
          <w:rFonts w:hint="cs" w:cs="FrankRuehl"/>
          <w:szCs w:val="26"/>
          <w:rtl/>
        </w:rPr>
        <w:t xml:space="preserve">(א)</w:t>
      </w:r>
      <w:r>
        <w:rPr>
          <w:lang w:bidi="he-IL"/>
          <w:rFonts w:hint="cs" w:cs="FrankRuehl"/>
          <w:szCs w:val="26"/>
          <w:rtl/>
        </w:rPr>
        <w:tab/>
        <w:t xml:space="preserve">תקנה 138 לתקנות סדר הדין האזרחי תחול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סבר בית המשפט שלערעור כי לערעור אין סיכוי להתקבל, רשאי הוא, מטעמים מיוחדים, לדחות את הערעור בלא צורך בתשובה.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בערעור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ערעור על החלטת בית המשפט לפי החוק יוגש במסירת עותק אחד של כתב ערעור לבית המשפט שלערעור בצירוף העתקים נוספים כמספר המשיבים.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לכתב הערעור יצורפו העתק אחד של ההחלטה שעליה מערערים בשביל בית המשפט שלערעור כשהוא מאושר בידי הרשם או המזכיר הראשי של בית המשפט המקורי, והעתקים נוספים, מאושרים כאמור או בידי עורך דין או היועץ המשפטי לממשלה או בא כוחו, כמספר המשיבים.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לכתב הערעור יצורפו העתקי מסמכים שהמערער מבקש להסתמך עליהם, שהוגשו והתקבלו כדין בערכאה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של כתב הערעור בצירוף העתק ההחלטה שעליה מערערים יומצאו לכל אחד מן המשיבים ולאפוטרופוס לדין, אם מונה לקטין, זולת אם בית המשפט יורה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היו משיבים אחדים בערעור מיוצגים על ידי עורך דין אחד, די בהעתק אחד מן המסמכים האמורים בתקנת משנה (ג) בשביל כל המשיבים.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בכתב לערעור</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הורה בית המשפט על הגשת תשובה בכתב לערעור או לבקשת רשות ערעור, כאמור בתקנה 11ב, התשובה תוגש בתוך שלושים ימים מיום המצאת ההחלטה, או במועד מוקדם יותר שיורה עליו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לתשובה יצורפו העתקי המסמכים שהמשיב מבקש להסתמך עליהם, שהוגשו והתקבלו כדין בערכאה הקודמת, זולת המסמכים שצורפו לערעור.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הבאת ראיות נוספות</w:t>
                </w:r>
              </w:p>
            </w:txbxContent>
          </v:textbox>
        </v:rect>
      </w:pict>
      <w:r>
        <w:rPr>
          <w:lang w:bidi="he-IL"/>
          <w:rFonts w:hint="cs" w:cs="FrankRuehl"/>
          <w:szCs w:val="34"/>
          <w:rtl/>
        </w:rPr>
        <w:t xml:space="preserve">12ב.</w:t>
      </w:r>
      <w:r>
        <w:rPr>
          <w:lang w:bidi="he-IL"/>
          <w:rFonts w:hint="cs" w:cs="FrankRuehl"/>
          <w:szCs w:val="26"/>
          <w:rtl/>
        </w:rPr>
        <w:tab/>
        <w:t xml:space="preserve">התיר בית המשפט שלערעור הבאת ראיות נוספות כאמור בתקנה 144 לתקנות סדר הדין האזרחי, יכול הוא עצמו לגבותן, אם בעל פה, אם בתצהיר ואם בדרך אחרת, או להורות לבית משפט אחר לגבותן ולשלחן אליו.</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שאינו בהתאם להוראות</w:t>
                </w:r>
              </w:p>
            </w:txbxContent>
          </v:textbox>
        </v:rect>
      </w:pict>
      <w:r>
        <w:rPr>
          <w:lang w:bidi="he-IL"/>
          <w:rFonts w:hint="cs" w:cs="FrankRuehl"/>
          <w:szCs w:val="34"/>
          <w:rtl/>
        </w:rPr>
        <w:t xml:space="preserve">13.</w:t>
      </w:r>
      <w:r>
        <w:rPr>
          <w:lang w:bidi="he-IL"/>
          <w:rFonts w:hint="cs" w:cs="FrankRuehl"/>
          <w:szCs w:val="26"/>
          <w:rtl/>
        </w:rPr>
        <w:tab/>
        <w:t xml:space="preserve">ערעור שאינו ממלא אחר הוראה של תקנות אלה לא יקובל לרישום; אולם המערער רשאי לדרוש ששופט בית המשפט שלערעור יחליט בשאלה אם הערעור ממלא או אינו ממלא אחר הוראות תקנות אלה או התקנות הכלליות כאמור.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הוצאות</w:t>
                </w:r>
              </w:p>
            </w:txbxContent>
          </v:textbox>
        </v:rect>
      </w:pict>
      <w:r>
        <w:rPr>
          <w:lang w:bidi="he-IL"/>
          <w:rFonts w:hint="cs" w:cs="FrankRuehl"/>
          <w:szCs w:val="34"/>
          <w:rtl/>
        </w:rPr>
        <w:t xml:space="preserve">13א.</w:t>
      </w:r>
      <w:r>
        <w:rPr>
          <w:lang w:bidi="he-IL"/>
          <w:rFonts w:hint="cs" w:cs="FrankRuehl"/>
          <w:szCs w:val="26"/>
          <w:rtl/>
        </w:rPr>
        <w:tab/>
        <w:t xml:space="preserve">בית המשפט רשאי בתום הדיון בכל הליך לחייב בעל דין בתשלום שכר טרחת עורך דין או בהוצאות משפט לטובת בעל הדין אחר, בשים לב, בין השאר, לשימוש לרעה בהליכי משפט על ידי מי מבעלי הדין.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תקנות</w:t>
                </w:r>
              </w:p>
            </w:txbxContent>
          </v:textbox>
        </v:rect>
      </w:pict>
      <w:r>
        <w:rPr>
          <w:lang w:bidi="he-IL"/>
          <w:rFonts w:hint="cs" w:cs="FrankRuehl"/>
          <w:szCs w:val="34"/>
          <w:rtl/>
        </w:rPr>
        <w:t xml:space="preserve">14.</w:t>
      </w:r>
      <w:r>
        <w:rPr>
          <w:lang w:bidi="he-IL"/>
          <w:rFonts w:hint="cs" w:cs="FrankRuehl"/>
          <w:szCs w:val="26"/>
          <w:rtl/>
        </w:rPr>
        <w:tab/>
        <w:t xml:space="preserve">אי קיום תקנות אלה או תקנות סדר הדין האזרחי החלות כאמור בתקנה 1 אינו פוסל שום הליך לפי החוק.</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15.</w:t>
      </w:r>
      <w:r>
        <w:rPr>
          <w:lang w:bidi="he-IL"/>
          <w:rFonts w:hint="cs" w:cs="FrankRuehl"/>
          <w:szCs w:val="26"/>
          <w:rtl/>
        </w:rPr>
        <w:tab/>
        <w:t xml:space="preserve">תקנות הנוער (טיפול והשגחה) (סדרי דין), תשכ"ב-1962 – בטלות.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16.</w:t>
      </w:r>
      <w:r>
        <w:rPr>
          <w:lang w:bidi="he-IL"/>
          <w:rFonts w:hint="cs" w:cs="FrankRuehl"/>
          <w:szCs w:val="26"/>
          <w:rtl/>
        </w:rPr>
        <w:tab/>
        <w:t xml:space="preserve">לתקנות אלה ייקרא "תקנות הנוער (טיפול והשגחה) (סדרי דין), תשל"א-1970".</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3)
</w:t>
      </w:r>
      <w:hyperlink xmlns:r="http://schemas.openxmlformats.org/officeDocument/2006/relationships" w:history="true" r:id="Ra3c7c0b58a0b4c7f">
        <w:r>
          <w:rPr>
            <w:rStyle w:val="Hyperlink"/>
            <w:u w:val="single"/>
            <w:color w:themeColor="hyperlink"/>
          </w:rPr>
          <w:t>בקשה בדבר קטין נזקק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7d592f853494c4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דע כי הוגשה ע"י המבקש בקשה בבית משפט זה בענינך/בענין הקטין*  __________.</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אתה מצויין בבקשה כאחראי על הקטין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הנך מוזמן בזה להתייצב בבית המשפט ביום __________ בשעה __________ ולהשיב על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הנך רשאי להזמין עדים ולחקרם, לטעון טענות ולהציע הצעות בדבר הבקשה והקטין הנ"ל.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העתק הבקשה על נספחיה מצורף בזה.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08b5e86234e4b6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(טיפול והשגחה) (סדרי דין), תשל"א-1970,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168bb8da513496a" /><Relationship Type="http://schemas.openxmlformats.org/officeDocument/2006/relationships/hyperlink" Target="https://www.nevo.co.il/lawattachments/632ab6b965d78406408ab73f/ebe2f3bd-f962-4346-99da-6f2048a68c16.doc" TargetMode="External" Id="Ra3c7c0b58a0b4c7f" /><Relationship Type="http://schemas.openxmlformats.org/officeDocument/2006/relationships/hyperlink" Target="https://www.nevo.co.il/laws/#/632ab6b965d78406408ab73f/clause/632ab95765d78406408ab7fe" TargetMode="External" Id="Rf7d592f853494c46" /><Relationship Type="http://schemas.openxmlformats.org/officeDocument/2006/relationships/hyperlink" Target="https://www.nevo.co.il/laws/#/632ab6b965d78406408ab73f/clause/632abac165d78406408ab828" TargetMode="External" Id="R608b5e86234e4b63" /><Relationship Type="http://schemas.openxmlformats.org/officeDocument/2006/relationships/header" Target="/word/header1.xml" Id="r97" /><Relationship Type="http://schemas.openxmlformats.org/officeDocument/2006/relationships/footer" Target="/word/footer1.xml" Id="r98" /></Relationships>
</file>