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6db47d875784a6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הסכמים לנשיאת עוברים (אישור הסכם ומעמד היילוד) (רישום בפנקס),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הפנקס</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הטורים שייכללו בפנקס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פנקסי עזר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תעודה מאת שופט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תעודה לרשם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הפרטים בפנקס</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בפנקס</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הפנקסים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הסכמים לנשיאת עוברים (אישור הסכם ומעמד היילוד) (רישום בפנקס),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16(ב) לחוק הסכמים לנשיאת עוברים (אישור הסכם ומעמד היילוד), התשנ"ו-1996 (להלן – החוק),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הורות" –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 כל צו אחר שנתן בית משפט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"הרשם" – מי שנתמנה לרשם לפי סעיף 16(א)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בתי המשפט" – מי שנתמנה לפי סעיף 82 לחוק בתי המשפט [נוסח משולב], התשמ"ד-1984.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הפנקס</w:t>
                </w:r>
              </w:p>
            </w:txbxContent>
          </v:textbox>
        </v:rect>
      </w:pict>
      <w:r>
        <w:rPr>
          <w:lang w:bidi="he-IL"/>
          <w:rFonts w:hint="cs" w:cs="FrankRuehl"/>
          <w:szCs w:val="34"/>
          <w:rtl/>
        </w:rPr>
        <w:t xml:space="preserve">2.</w:t>
      </w:r>
      <w:r>
        <w:rPr>
          <w:lang w:bidi="he-IL"/>
          <w:rFonts w:hint="cs" w:cs="FrankRuehl"/>
          <w:szCs w:val="26"/>
          <w:rtl/>
        </w:rPr>
        <w:tab/>
        <w:t xml:space="preserve">צורת הפנקס תהיה צורתו של פנקס האימוצים לפי תקנות פנקס האימוצים, התשכ"ד-1964.</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הטורים שייכללו בפנקס</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גיליון של הפנקס יסומן במספר סידורי ויכלול טורים שיצוינו במספרים ובכותרות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המשפט שנתן את צו ההורות או את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תיק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מתן צו ההורות או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שם הילד לפי צו ההורות או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שם הילד לפני מתן צו ההורות או הצו (אם ניתן);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התאריך ומקום הלידה של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מספר הזהות של הילד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מין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שם האם הנושאת, שם נעורים, דתה, אזרחותה ומספר זהותה;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שמות ההורים המיועדים, שמות נעורים ושמות קודמים, דתם, אזרחותם, ומספרי זהותם;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הוראות שנקבעו בצו בדבר מעמד הילד ויחסיו עם האם הנושאת, ההורים המיועדים, או אחד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הערות.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בשולי הגיליון תבוא חתימת הרשם.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פנקסי עזר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הרשם ינהל שלושה פנקסי עזר בצורת אלפונים לפי שמות המשפחה, שבהם יירשמו: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בפנקס האחד – שם המשפחה והשם הפרטי של הילד כפי שנקבע בצו ההורות או בצו וכן שמו הקודם, אם ניתן;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בפנקס השני – שם המשפחה והשם הפרטי של כל אחד מההורים המיועדים, וכן שמות קודמים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בפנקס השלישי – שם המשפחה והשם הפרטי של האם הנושאת, וכן שם קודם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ליד כל רישום תצוין הפניה למספר הסידורי של הגיליון בפנקס שבו רשום השם.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תעודה מאת שופט</w:t>
                </w:r>
              </w:p>
            </w:txbxContent>
          </v:textbox>
        </v:rect>
      </w:pict>
      <w:r>
        <w:rPr>
          <w:lang w:bidi="he-IL"/>
          <w:rFonts w:hint="cs" w:cs="FrankRuehl"/>
          <w:szCs w:val="34"/>
          <w:rtl/>
        </w:rPr>
        <w:t xml:space="preserve">5.</w:t>
      </w:r>
      <w:r>
        <w:rPr>
          <w:lang w:bidi="he-IL"/>
          <w:rFonts w:hint="cs" w:cs="FrankRuehl"/>
          <w:szCs w:val="26"/>
          <w:rtl/>
        </w:rPr>
        <w:tab/>
        <w:t xml:space="preserve">בית משפט שנתן צו הורות או צו, יעביר לרשם, בתוך 15 ימים מיום מתן צו ההורות או הצו, תעודה מאת השופט שנתן את צו ההורות או הצו שבה יפורטו אותם פרטים שרישומם נדרש בפנקס.</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תעודה לרשם</w:t>
                </w:r>
              </w:p>
            </w:txbxContent>
          </v:textbox>
        </v:rect>
      </w:pict>
      <w:r>
        <w:rPr>
          <w:lang w:bidi="he-IL"/>
          <w:rFonts w:hint="cs" w:cs="FrankRuehl"/>
          <w:szCs w:val="34"/>
          <w:rtl/>
        </w:rPr>
        <w:t xml:space="preserve">6.</w:t>
      </w:r>
      <w:r>
        <w:rPr>
          <w:lang w:bidi="he-IL"/>
          <w:rFonts w:hint="cs" w:cs="FrankRuehl"/>
          <w:szCs w:val="26"/>
          <w:rtl/>
        </w:rPr>
        <w:tab/>
        <w:t xml:space="preserve">התעודה האמורה בתקנה 5 תועבר במעטפה סגורה וחתומה בשעווה בחותם בית המשפט שיצוין על גביה "סודי" והיא תימסר לידי הרשם, ובהעדרו – לידי המזכיר הראשי של בית המשפט.</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הפרטים בפנקס</w:t>
                </w:r>
              </w:p>
            </w:txbxContent>
          </v:textbox>
        </v:rect>
      </w:pict>
      <w:r>
        <w:rPr>
          <w:lang w:bidi="he-IL"/>
          <w:rFonts w:hint="cs" w:cs="FrankRuehl"/>
          <w:szCs w:val="34"/>
          <w:rtl/>
        </w:rPr>
        <w:t xml:space="preserve">7.</w:t>
      </w:r>
      <w:r>
        <w:rPr>
          <w:lang w:bidi="he-IL"/>
          <w:rFonts w:hint="cs" w:cs="FrankRuehl"/>
          <w:szCs w:val="26"/>
          <w:rtl/>
        </w:rPr>
        <w:tab/>
        <w:t xml:space="preserve">קיבל הרשם את התעודה האמורה בתקנה 5, ירשום בפנקס, בתוך 7 ימים, את הפרטים שרישומם נדרש לפי התעודה ויאשר את הרישום בחתימת ידו, וכן ירשום את הפרטים בפנקסי העזר.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בפנקס</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הרוצה לעיין בפנקס יגיש על כך בקשה בכתב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יצוינו שמו ומענו של המבקש, האסמכתה לזכותו לעיין בפנקס ומי הוא האדם שהוא מבקש להשיג ידיעות על אודותיו.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הרשם שהמבקש הוא אדם הזכאי לעיין בפנקס לפי סעיף 16(ג) לחוק ונקבעה זהותו של המבקש להנחת דעתו, ואם דרושה הסמכה – שהמבקש הוסמך כהלכה, יקבע מועד לעיון, ולא ירשה עיון אלא בנוכחותו ואלא בגיליון הנוגע לאדם שמבקשים ידיעות על אודותיו.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המבקש בגיר שנולד כתוצאה מהסכם לנשיאת עוברים, יעביר הרשם מיד העתק מהבקשה לאישורו של פקיד הסעד הראשי לפי החוק והמועד שיקבע לעיון לא יהיה לפני תום 45 ימים מיום הגשת הבקשה; אולם רשאי הרשם להרשות את העיון לפני המועד שנקבע אם אישר פקיד סעד ראשי, בכתב, שאין מניעה לכך.</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הפנקסים</w:t>
                </w:r>
              </w:p>
            </w:txbxContent>
          </v:textbox>
        </v:rect>
      </w:pict>
      <w:r>
        <w:rPr>
          <w:lang w:bidi="he-IL"/>
          <w:rFonts w:hint="cs" w:cs="FrankRuehl"/>
          <w:szCs w:val="34"/>
          <w:rtl/>
        </w:rPr>
        <w:t xml:space="preserve">9.</w:t>
      </w:r>
      <w:r>
        <w:rPr>
          <w:lang w:bidi="he-IL"/>
          <w:rFonts w:hint="cs" w:cs="FrankRuehl"/>
          <w:szCs w:val="26"/>
          <w:rtl/>
        </w:rPr>
        <w:tab/>
        <w:t xml:space="preserve">הפנקס, פנקסי העזר, בקשות שהוגשו לפי תקנה 8 והתעודות האמורות בתקנה 5 יישמרו במקום סגור שקבע מנהל בתי המשפט שמפתחותיו יימצאו בידי הרשם, בידי מנהל בתי המשפט ובידי מי שהמנהל הרשהו לכך.</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הסכמים לנשיאת עוברים (אישור הסכם ומעמד היילוד) (רישום בפנקס),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24f019d12f34720" /><Relationship Type="http://schemas.openxmlformats.org/officeDocument/2006/relationships/header" Target="/word/header1.xml" Id="r97" /><Relationship Type="http://schemas.openxmlformats.org/officeDocument/2006/relationships/footer" Target="/word/footer1.xml" Id="r98" /></Relationships>
</file>