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9713bd0d0ea418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הסמים המסוכנים (דרכי הנהלת הקרן לטיפול בנכסים שחולטו), תש"ן-1990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ופרשנות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נכסים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הנהלת הקרן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הניהול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רכוש</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ברכוש</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רכוש</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קרן שמורה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קדימה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הכוונה ופיקוח</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תקנות הסמים המסוכנים (דרכי הנהלת הקרן לטיפול בנכסים שחולטו), תש"ן-1990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על פי סעיף 36ח(ב) לפקודת הסמים המסוכנים [נוסח חדש], התשל"ג-1973, ובאישור ועדת החוקה, חוק ומשפט של הכנסת, אנו מתקינים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ופרשנות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"הפקודה" – פקודת הסמים המסוכנים [נוסח חדש], התשל"ג-1973;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האפוטרופוס הכללי" – חוק האפוטרופוס הכללי, התשל"ח-1978;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"המועצה" – המועצה שהוקמה לפי תקנה 11(א) ו-(א1),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"הקרן" – הקרן שהוקמה על פי סעיף 36ח(א) לפקודה;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איסור הלבנת הון" – חוק איסור הלבנת הון, התש"ס-2000;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"נכס" – קנס, עיצום כספי ורכוש;</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"עיצום כספי" – עיצום כספי שהוטל לפי פרק ה' לחוק איסור הלבנת הון;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"קנס" – קנס שהטיל בית המשפט לפי הפקודה או לפי חוק איסור הלבנת הון;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"רכוש" – רכוש שחולט לפי הפקודה או חוק איסור הלבנת הון, לרבות תמורתו.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מונחים אחרים תהא להם המשמעות שיש להם בפקודה, בחוק איסור הלבנת הון או בחוק האפוטרופוס הכללי.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נכסים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רכוש שהופקד בקרן לפי סעיף 36ח לפקודה יירשם בספריה לפי שם הטוען לזכות בו; הרישום יכלול את הפרטים שצויינו בהודעת החילוט שהומצאה לאפוטרופוס הכללי בהתאם לתקנה 17 לתקנות הסמים המסוכנים (סדרי דין לענין חילוט רכוש), התש"ן-1990 (להלן – תקנות החילוט).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קנס שהופקד בקרן לפי סעיף 36י לפקודה יירשם בספריה לפי שם משלמו, על פי הודעה שנמסרה לאפוטרופוס הכללי בהתאם לתקנה 18 לתקנות החילוט.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רכוש שהופקד בקרן בהתאם לסעיף 23 לחוק איסור הלבנת הון יירשם בספרייה לפי שם הטוען לזכות בו; הרישום יכלול את הפרטים שצוינו בהודעת החילוט.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עיצום כספי וקנס שהופקדו בקרן בהתאם לסעיף 23 לחוק איסור הלבנת הון, יירשמו בספרייה לפי שם משלמו.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נכס שהופקד בקרן בהתאם לסעיף 23 לחוק איסור הלבנת הון, יירשם בספרייה ברישום נפרד מנכס שהופקד לפי הוראות הפקודה.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בתקנת משנה (ה), נכס שהופקד בקרן לפי סעיף 23 האמור בשל קביעת בית המשפט כי נעברה עבירה לפי הפקודה, או עבירה שאילו נעברה בישראל היתה עבירה כאמור, יירשם בספרי הקרן ברישום המנוהל לפי תקנת משנה (א) ו-(ב).</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הנהלת הקרן</w:t>
                </w:r>
              </w:p>
            </w:txbxContent>
          </v:textbox>
        </v:rect>
      </w:pict>
      <w:r>
        <w:rPr>
          <w:lang w:bidi="he-IL"/>
          <w:rFonts w:hint="cs" w:cs="FrankRuehl"/>
          <w:szCs w:val="34"/>
          <w:rtl/>
        </w:rPr>
        <w:t xml:space="preserve">3.</w:t>
      </w:r>
      <w:r>
        <w:rPr>
          <w:lang w:bidi="he-IL"/>
          <w:rFonts w:hint="cs" w:cs="FrankRuehl"/>
          <w:szCs w:val="26"/>
          <w:rtl/>
        </w:rPr>
        <w:tab/>
        <w:t xml:space="preserve">הוראות סעיפים 10(ג) עד (ה), 11 ו-13(ב) לחוק האפוטרופוס הכללי יחולו על הקרן, בשינויים המחוייבים על פי הענין.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הניהול</w:t>
                </w:r>
              </w:p>
            </w:txbxContent>
          </v:textbox>
        </v:rect>
      </w:pict>
      <w:r>
        <w:rPr>
          <w:lang w:bidi="he-IL"/>
          <w:rFonts w:hint="cs" w:cs="FrankRuehl"/>
          <w:szCs w:val="34"/>
          <w:rtl/>
        </w:rPr>
        <w:t xml:space="preserve">4.</w:t>
      </w:r>
      <w:r>
        <w:rPr>
          <w:lang w:bidi="he-IL"/>
          <w:rFonts w:hint="cs" w:cs="FrankRuehl"/>
          <w:szCs w:val="26"/>
          <w:rtl/>
        </w:rPr>
        <w:tab/>
        <w:t xml:space="preserve">הוצאותיה של הקרן ייגבו מכלל הנכסים שהופקדו בה; ואולם תשלום הוצאות החילוט והעשייה בנכסים שהופקדו בקרן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לפי סעיף 36ח או 36י לפקודה – יהיו מנכסים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בהתאם לסעיף 23 לחוק איסור הלבנת הון – יהיו מנכסים אלה.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רכוש</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האפוטרופוס הכללי רשאי לממש רכוש שהופקד בקרן אם נוכח שהדבר דרוש לשם חלוקתו, לשם יעול הטיפול בו או לשם ביצוע תשלומים המוטלים על 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מימוש רכוש הכרוך בפעולות המנויות בסעיף 9(ג) לחוק האפוטרופוס הכללי טעון אישור מראש של המועצה.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ברכוש</w:t>
                </w:r>
              </w:p>
            </w:txbxContent>
          </v:textbox>
        </v:rect>
      </w:pict>
      <w:r>
        <w:rPr>
          <w:lang w:bidi="he-IL"/>
          <w:rFonts w:hint="cs" w:cs="FrankRuehl"/>
          <w:szCs w:val="34"/>
          <w:rtl/>
        </w:rPr>
        <w:t xml:space="preserve">6.</w:t>
      </w:r>
      <w:r>
        <w:rPr>
          <w:lang w:bidi="he-IL"/>
          <w:rFonts w:hint="cs" w:cs="FrankRuehl"/>
          <w:szCs w:val="26"/>
          <w:rtl/>
        </w:rPr>
        <w:tab/>
        <w:t xml:space="preserve">כל עוד לא מומש רכוש שהופקד בקרן רשאי האפוטרופוס הכללי, באישור המועצה, להחליט על אופן השימוש בו למטרות האמורות בסעיף 36ח(ב) לפקודה.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האפוטרופוס הכללי יפעל לחלוקת נכסי הקרן למטרות המנויות בסעיף 36ח(ב)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חלוקת נכסי הקרן למטרות המנויות בפסקאות של סעיף 36ח(ב) לפקודה המפורטות להלן, תהיה לפי הוראות המועצה להכוונת פעולות הקרן לפי תקנה 11(א)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פסקה (3) – לגבי מידע או גילוי רכוש בר-חילוט לפי הפקודה;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פסקה (5) – לעניין ביצוע תפקידי המשטרה והמכס לפי הפקודה.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חלוקת נכסי הקרן למטרות המנויות בפסקאות של סעיף 36ח(ב) לפקודה המפורטות להלן תהיה לפי הוראות המועצה שהוקמה לפי תקנה 11(א1)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פסקה (1) – תשלום הוצאות הליכי החילוט של גורמי אכיפת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פסקה (3) – לגבי מידע או גילוי רכוש בר-חילוט בהתאם לסעיף 23 לחוק איסור הלבנת הון;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פסקה (5) – לעניין ביצוע תפקידי המשטרה והמכס לפי חוק איסור הלבנת הון;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פסקה (6).</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רכוש</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ציווה בית המשפט על החזרת רכוש שהופקד בקרן וטרם מומש, יחזירו האפוטרופוס הכללי לזכאי על פי הצו לקבלו משיקבל הודעה על כך מבית המשפט, על פי תקנה 11(ד) לתקנות החילוט.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ציווה בית המשפט על החזרת תמורתו של רכוש שהופקד בקרן או על תשלום דמי שימוש בו, או על פיצוי בשל נזק או פחת ברכוש כאמור, על פי סעיף 36ד(ג) או (ד) לפקודה, תשפה הקרן את אוצר המדינה בשיעור התשלומים ששילם לפי הצו מן הכספים שבידיה, או שיימצאו בידיה לאחר נתינתו.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שיפוי אוצר המדינה לפי תקנת משנה (ב) בקשר לרכוש שהופקד בקרן לפי סעיף 23 לחוק איסור הלבנת הון ייעשה מנכסים שהופקדו בקרן לפי הסעיף האמור.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קרן שמורה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לשם מימון תשלומי השיפוי כאמור בתקנה 8(ב), לגבי רכוש שהופקד בקרן לפי סעיף 36ח לפקודה, תשמור הקרן בידיה סכום במזומנים שיחסו לכלל המזומנים המופקדים בה אותה שעה יהיה כיחס שיקבע שר המשפטים מזמן לזמן, ובלבד שסך המזומנים שבקרן השמורה לא יעלה על 500,000 שקלים חדשים; כספים שהופקדו מעל יתרה זו יוחזרו לקרן ויחולקו בהתאם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מימון תשלומי השיפוי כאמור בתקנה 8(ב) לגבי רכוש שהופקד בקרן בהתאם לסעיף 23 לחוק איסור הלבנת הון, תשמור הקרן בידה סכום במזומנים שיחסו לכלל המזומנים המופקדים בה אותה שעה יהיה כיחס שיקבע שר המשפטים מזמן לזמן, ובלבד שסך המזומנים שבקרן השמורה לא יעלה על 15,000,000 שקלים חדשים; כספים שהופקדו מעל יתרה זו יוחזרו לקרן ויחולקו בהתאם לתקנות אלה.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קדימה</w:t>
                </w:r>
              </w:p>
            </w:txbxContent>
          </v:textbox>
        </v:rect>
      </w:pict>
      <w:r>
        <w:rPr>
          <w:lang w:bidi="he-IL"/>
          <w:rFonts w:hint="cs" w:cs="FrankRuehl"/>
          <w:szCs w:val="34"/>
          <w:rtl/>
        </w:rPr>
        <w:t xml:space="preserve">10.</w:t>
      </w:r>
      <w:r>
        <w:rPr>
          <w:lang w:bidi="he-IL"/>
          <w:rFonts w:hint="cs" w:cs="FrankRuehl"/>
          <w:szCs w:val="26"/>
          <w:rtl/>
        </w:rPr>
        <w:tab/>
        <w:t xml:space="preserve">בחלוקת כספי הקרן יהיה לתשלומים הבאים דין קדימה לכל שאר התשלומים המוטלים עליה, לפי סדר עדיפות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תשלום הוצאות הניהול, בהתאם לתקנה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שיפוי אוצר המדינה בהתאם לתקנה 8(ב), ככל שיידרש.</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הכוונה ופיקוח</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תוקם מועצה להכוונת פעולות הקרן על פי תקנות אלה לעניין נכס שהופקד בקרן לפי הפקודה, לרבות נכס כאמור בתקנה 2(ו), בהרכב הבא: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הרשות למלחמה בסמים שנתמנה על פי סעיף 14(א) לחוק הרשות למלחמה בסמים, התשמ"ח-1988 – 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(2)-(3)</w:t>
      </w:r>
      <w:r>
        <w:rPr>
          <w:lang w:bidi="he-IL"/>
          <w:rFonts w:hint="cs" w:cs="FrankRuehl"/>
          <w:szCs w:val="26"/>
          <w:rtl/>
        </w:rPr>
        <w:tab/>
        <w:t xml:space="preserve">   שני חברים במועצת הרשות למלחמה בסמים שהוקמה לפי החוק האמור בפסקה (1), שימונו בידי היושב ראש שלה, אחד מבין נציגי משרד החינוך והתרבות ואחד מבין נציגי משרד העבודה והרווחה באותה 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בא-כוח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בא-כוח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בא כוח השר לביטחון הפנים שימונה מתוך 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תוקם מועצה להכוונת פעולות הקרן על פי תקנות אלה לעניין נכס שהופקד בקרן בהתאם לסעיף 23 לחוק איסור הלבנת הון, למעט נכס כאמור בתקנה 2(ו), וזאת בהרכב הזה: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משפטן הכשיר לכהן כשופט מחוזי שמינה שר המשפטים – 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בא-כוח השר לביטחון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בא-כוח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בא-כוח שר המשפטים;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חברי המועצה לפי פסקאות (3) ו-(4) לא ימונו מקרב הגופים הנוטלים חלק בהטלת עיצומים כספיים.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האפוטרופוס הכללי ימציא לכל אחת מהמועצות, לפי העניין, לא יאוחר מששה חדשים לאחר תום שנת הכספים דין וחשבון מסכם על פעולות הקרן, מאושר בידי רואה חשבון.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הסמים המסוכנים (דרכי הנהלת הקרן לטיפול בנכסים שחולטו), תש"ן-1990, נוסח עדכני נכון ליום 05.05.2023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ca22e6f8a794b5f" /><Relationship Type="http://schemas.openxmlformats.org/officeDocument/2006/relationships/header" Target="/word/header1.xml" Id="r97" /><Relationship Type="http://schemas.openxmlformats.org/officeDocument/2006/relationships/footer" Target="/word/footer1.xml" Id="r98" /></Relationships>
</file>