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b918461c874b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הערבות,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מסמך הגילוי לפי סעיף 22 לחוק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הצגת מידע לפי סעיף 22(א)(3) לחוק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תוספות לסכום הערבות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 לחובת הודעה על אי קיום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מסירת הודעה לפי סעיף 26(ד)(2) לחוק</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 גביית החוק מאת החייב לפי סעיף 28 לחוק</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הערבות,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25(א)(4), 26(ג) ו-(ה) ו-34 לחוק הערבות, התשכ"ז-1967 (להלן – החוק), בהתייעצות עם נגיד בנק ישראל לענין תקנות 3 ו-4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מסמך הגילוי לפי סעיף 22 לחוק</w:t>
                </w:r>
              </w:p>
            </w:txbxContent>
          </v:textbox>
        </v:rect>
      </w:pict>
      <w:r>
        <w:rPr>
          <w:lang w:bidi="he-IL"/>
          <w:rFonts w:hint="cs" w:cs="FrankRuehl"/>
          <w:szCs w:val="34"/>
          <w:rtl/>
        </w:rPr>
        <w:t xml:space="preserve">1.</w:t>
      </w:r>
      <w:r>
        <w:rPr>
          <w:lang w:bidi="he-IL"/>
          <w:rFonts w:hint="cs" w:cs="FrankRuehl"/>
          <w:szCs w:val="26"/>
          <w:rtl/>
        </w:rPr>
        <w:tab/>
        <w:t xml:space="preserve">הגילוי לערב יחיד לפי סעיף 22 לחוק ייעשה במסמך נפרד מחוזה הערבות, תוך מתן הזדמנות סבירה לעיין בו לפני חתימת חוזה הערבות, כאשר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הגודל המזערי של האותיות במסמך הגילוי יהיה 2 מילימטרים;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האותיות לא תהיינה נטויות או מוצרות;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צבע האותיות יהיה נוגד את צבע הנייר שעליו הן כתובות;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הרווח בין השורות לא יפחת מגודל האות בשורה;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האותיות בשורות לא תיגענה זו בזו.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הצגת מידע לפי סעיף 22(א)(3) לחוק</w:t>
                </w:r>
              </w:p>
            </w:txbxContent>
          </v:textbox>
        </v:rect>
      </w:pict>
      <w:r>
        <w:rPr>
          <w:lang w:bidi="he-IL"/>
          <w:rFonts w:hint="cs" w:cs="FrankRuehl"/>
          <w:szCs w:val="34"/>
          <w:rtl/>
        </w:rPr>
        <w:t xml:space="preserve">2.</w:t>
      </w:r>
      <w:r>
        <w:rPr>
          <w:lang w:bidi="he-IL"/>
          <w:rFonts w:hint="cs" w:cs="FrankRuehl"/>
          <w:szCs w:val="26"/>
          <w:rtl/>
        </w:rPr>
        <w:tab/>
        <w:t xml:space="preserve">הפרטים המתוארים בסעיף 22(א)(3) לחוק, יימסרו בידי הנושה לערב יחיד, במסמך הגילוי כאמור בתקנה 1, ובסמוך לאחר מתן האשראי לחייב, ימסור אותם הנושה לערב בצורה של לוח תשלומים.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תוספות לסכום הערבות</w:t>
                </w:r>
              </w:p>
            </w:txbxContent>
          </v:textbox>
        </v:rect>
      </w:pict>
      <w:r>
        <w:rPr>
          <w:lang w:bidi="he-IL"/>
          <w:rFonts w:hint="cs" w:cs="FrankRuehl"/>
          <w:szCs w:val="34"/>
          <w:rtl/>
        </w:rPr>
        <w:t xml:space="preserve">3.</w:t>
      </w:r>
      <w:r>
        <w:rPr>
          <w:lang w:bidi="he-IL"/>
          <w:rFonts w:hint="cs" w:cs="FrankRuehl"/>
          <w:szCs w:val="26"/>
          <w:rtl/>
        </w:rPr>
        <w:tab/>
        <w:t xml:space="preserve">בנוסף לתוספות לסכום הערבות המנויות בסעיף 25(א) לחוק, ערב יחיד ערב גם לדמי ניהול חשבון עובר ושב, דמי גוביינא, פרמיות ביטוח ואגרות המוטלות לפי כל דין הנוגעות לחיוב.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 לחובת הודעה על אי קיום</w:t>
                </w:r>
              </w:p>
            </w:txbxContent>
          </v:textbox>
        </v:rect>
      </w:pict>
      <w:r>
        <w:rPr>
          <w:lang w:bidi="he-IL"/>
          <w:rFonts w:hint="cs" w:cs="FrankRuehl"/>
          <w:szCs w:val="34"/>
          <w:rtl/>
        </w:rPr>
        <w:t xml:space="preserve">4.</w:t>
      </w:r>
      <w:r>
        <w:rPr>
          <w:lang w:bidi="he-IL"/>
          <w:rFonts w:hint="cs" w:cs="FrankRuehl"/>
          <w:szCs w:val="26"/>
          <w:rtl/>
        </w:rPr>
        <w:tab/>
        <w:t xml:space="preserve">נושה יהיה פטור מלהודיע לערב על אי-קיום החיוב כאמור בסעיף 26(א) לחוק, אם חיובו של החייב נפרע בתשלומים תקופתיים, והסכום המצטבר שבפיגור אינו עולה על גובה שני תשלומים תקופתיים, ובלבד שאותו הסכום אינו עולה על 2,000 שקלים חדשים, כשהוא צמוד למדד המחירים לצרכן שפורסם בחודש אפריל 1998.</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מסירת הודעה לפי סעיף 26(ד)(2) לחוק</w:t>
                </w:r>
              </w:p>
            </w:txbxContent>
          </v:textbox>
        </v:rect>
      </w:pict>
      <w:r>
        <w:rPr>
          <w:lang w:bidi="he-IL"/>
          <w:rFonts w:hint="cs" w:cs="FrankRuehl"/>
          <w:szCs w:val="34"/>
          <w:rtl/>
        </w:rPr>
        <w:t xml:space="preserve">5.</w:t>
      </w:r>
      <w:r>
        <w:rPr>
          <w:lang w:bidi="he-IL"/>
          <w:rFonts w:hint="cs" w:cs="FrankRuehl"/>
          <w:szCs w:val="26"/>
          <w:rtl/>
        </w:rPr>
        <w:tab/>
        <w:t xml:space="preserve">הודעה של ערב יחיד על רצונו לפרוע הלוואה לפי סעיף 26(ד)(2) לחוק תהיה בכתב, ותימסר לנושה ביד או בדואר.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 גביית החוק מאת החייב לפי סעיף 28 לחוק</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ראה ראש ההוצאה לפועל כי ערב מוגן מילא את הערבות, כולה או מקצתה, בהתאם לסעיף 28 לחוק, רשאי הוא להעניק אישור לערב לפתוח תיק נפרד בהוצאה לפועל נגד החייב, וסדר הדין לענין דיון בבקשת הערב המוגן כאמור, יהיה כקבוע בתקנה 123 לתקנות ההוצאה לפועל, התש"ם-1979,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הליכים בבית משפט בקשר לזכויות הערב לפי סעיף 28 לחוק, יחולו תקנות 37 ו-38 לתקנות סדר הדין האזרחי, התשמ"ד-1984.</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ז' בסיון התשנ"ח (1 ביוני 1998).</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8.</w:t>
      </w:r>
      <w:r>
        <w:rPr>
          <w:lang w:bidi="he-IL"/>
          <w:rFonts w:hint="cs" w:cs="FrankRuehl"/>
          <w:szCs w:val="26"/>
          <w:rtl/>
        </w:rPr>
        <w:tab/>
        <w:t xml:space="preserve">תקנות אלה לא יחולו על התחייבות לשיפוי וחוזי ערבות שנכרתו לפני תחילתן.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הערבות,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af0decbfbed46b9" /><Relationship Type="http://schemas.openxmlformats.org/officeDocument/2006/relationships/header" Target="/word/header1.xml" Id="r97" /><Relationship Type="http://schemas.openxmlformats.org/officeDocument/2006/relationships/footer" Target="/word/footer1.xml" Id="r98" /></Relationships>
</file>