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39125b5c47e48e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הקרקעות (רכישה לצורכי ציבור) (שימוע לפני הוועדה המייעצת), תשע"א-2010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ב':סדר הדיון בהתנגדות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התנגדות לוועדה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ההתנגדות ומסמכים נלווים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בכתב התנגדות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על שמיעת התנגדות בעל פה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הדיון בהתנגדויות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התנגדות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הדיון בשמיעת התנגדות בעל פה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זימון גורם נוסף</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 וראיות נוספים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נוספים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נוכחות חברי הוועדה בדיונים בנושא התנגדויות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בהתנגדות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ג':הוראות שונות</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באמצעי אלקטרוני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הקרקעות (רכישה לצורכי ציבור) (שימוע לפני הוועדה המייעצת), תשע"א-2010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5א ו-22(2ב) לפקודת הקרקעות (רכישה לצורכי ציבור), 1943 (להלן – הפקודה), ובאישור ועדת הכספים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אלקטרוני" – תקשורת בין מחשבים, דיסקט מגנטי או אופטי או התקן אחר שבאמצעותו ניתן להעביר מסמכים אל מערכת ממוכנת או ממנה;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קרקע" – בעל קרקע ומי שיש לו טובת הנאה בקרקע, כמשמעותם בסעיפים 5א, 14א(ב) ו-22(2ב) לפקודה,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הוועדה המייעצת כמשמעותה בסעיף 2א או 22א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הפקעה לפי סעיף 5" – כמשמעותה בסעיף 5(1)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הפקעה לפי סעיף 5 ו-7 יחדיו" – כמשמעותה בסעיף 7(1)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"הרשאה" – כמשמעותה בסעיף 22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על מתן הרשאה" – כמשמעותה בסעיף 22(2)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"התנגדות" – טענות בעל קרקע נגד רכישת קרקע, מתן הרשאה או שינוי מטרת רכישה,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"מזכיר" – מזכיר הוועדה;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"שומת מקרקעין" – כהגדרתה בחוק שמאי מקרקעין, התשס"א-2001 (להלן – חוק שמאי מקרקעין), שנערכה לפי חוק שמאי מקרקעין;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"שינוי מטרת רכישה" – כמשמעותו בסעיף 14א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האוצר, ובכל הנוגע לרכישת קרקע לצורך ציבורי שהוא דרך או צורך הנובע ממנו או כרוך בו – שר התחבורה והבטיחות בדרכים.</w:t>
      </w:r>
    </w:p>
    <w:p>
      <w:pPr>
        <w:bidi/>
        <w:spacing w:before="70" w:after="5" w:line="250" w:lineRule="auto"/>
        <w:jc w:val="center"/>
      </w:pPr>
      <w:defaultTabStop w:val="720"/>
      <w:r>
        <w:rPr>
          <w:lang w:bidi="he-IL"/>
          <w:rFonts w:hint="cs" w:cs="FrankRuehl"/>
          <w:szCs w:val="26"/>
          <w:b/>
          <w:bCs/>
          <w:rtl/>
        </w:rPr>
        <w:t xml:space="preserve">פרק ב':סדר הדיון בהתנגדות</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התנגדות לוועדה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פורסמה הודעת הפקעה לפי סעיף 5, או הודעה על מתן הרשאה, רשאי בעל הקרקע להגיש התנגדות בכתב לוועדה, בתוך 60 ימים מיום פרסום ההודעה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השר כי הקרקע דרושה באופן דחוף למימוש מטרת הרכישה, והחליט בהחלטה מנומקת בכתב על דחיית המועד להגשת התנגדות לפי סעיף 5א(א) לפקודה, רשאי בעל הקרקע להגיש התנגדות כאמור בתוך 60 ימים מיום פרסום הודעת הפקעה לפי סעיפים 5 ו-7 יחדיו.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תמסור הודעה, באופן שבו נמסרת הודעה לבעל קרקע לפי סעיף 5 לפקודה, לבעל קרקע אשר בכוונת השר לפרסם לגביה הודעה על שינוי מטרת הרכישה, על זכותו לטעון טענותיו נגד שינוי מטרת הרכישה; נמסרה הודעה כאמור, רשאי בעל קרקע להגיש התנגדות בכתב לוועדה בתוך 60 ימים מיום שנמסרה לו הודעה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התנגדות תוגש למזכיר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קרקע רשאי להגיש בקשה להשמיע את התנגדותו בעל פה לפני הוועדה; בקשה כאמור תוגש יחד עם כתב ההתנגדות.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ההתנגדות ומסמכים נלווים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בכתב ההתנגדות, יפורטו טעמי ההתנגדות והוא יהיה ערוך לפי טופס א'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לכתב ההתנגדות יצורפו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נסח רישום בפנקסי המקרקעין, או מסמך אחר המעיד על זכותו של מגיש ההתנגדות (להלן – מתנגד) לגבי הנכס, אם הזכות איננה רשומה בפנקסי המקרקעין;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תצהיר, מאומת בידי עורך דין, לאימות כל טענה עובדתית המועלית בכתב ההתנגדות;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מסמך אחר הנוגע לעניין, שהמתנגד מבקש להציג לפני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מזכיר הוועדה יבדוק את המסמכים הנלווים שצורפו לכתב ההתנגדות ויודיע למתנגד אם לכתב ההתנגדות שהוגש לא צורפו כל המסמכים, כנדרש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יתקבלו מסמכים לאחר חלוף המועד הקבוע בתקנה 2, אלא באישור יושב ראש הוועדה.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בכתב התנגדות</w:t>
                </w:r>
              </w:p>
            </w:txbxContent>
          </v:textbox>
        </v:rect>
      </w:pict>
      <w:r>
        <w:rPr>
          <w:lang w:bidi="he-IL"/>
          <w:rFonts w:hint="cs" w:cs="FrankRuehl"/>
          <w:szCs w:val="34"/>
          <w:rtl/>
        </w:rPr>
        <w:t xml:space="preserve">4.</w:t>
      </w:r>
      <w:r>
        <w:rPr>
          <w:lang w:bidi="he-IL"/>
          <w:rFonts w:hint="cs" w:cs="FrankRuehl"/>
          <w:szCs w:val="26"/>
          <w:rtl/>
        </w:rPr>
        <w:tab/>
        <w:t xml:space="preserve">הוועדה תקיים דיון בהתנגדות לא יאוחר מ-90 ימים מהמועד האחרון להגשת התנגדות, כאמור בתקנה 2.</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על שמיעת התנגדות בעל פה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הוגשה לוועדה בקשה כאמור בתקנה 2(ה), יודיע המזכיר למתנגד על המועד שנקבע לשמיעת ההתנגדות 14 ימים לפחות לפני המועד שנקבע לדיון, אלא אם כן הודיע יושב ראש הוועדה למתנגד כי מתקיימים התנאים שבתקנת משנה (ג); הזמנה כאמור יכול שתיעשה גם באמצעות טלפון, פקסימילה או דואר אלקטרוני.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יושב ראש הוועדה על קיום דיון בעל פה כאמור, רשאי הוא לזמן לדיון כל גורם הנוגע לעניין, לרבות גוף שיש כוונה ליתן לו הרשאה.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הוגשו לוועדה התנגדויות זהות במהותן, רשאי יושב ראש הוועדה להזמין ולשמוע רק כמה מתנגדים מבין מגישי ההתנגדויות, אם שוכנע כי אותם מתנגדים מייצגים עניין או מקום זהים; כמו כן רשאית הוועדה להחליט כי תימנע משמיעת התנגדות שיש בה חזרה על התנגדות ששמעה קודם לכן.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הדיון בהתנגדויות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יושב ראש הוועדה רשאי להחליט על איחוד הדיון בהתנגדויות המונחות לפני הוועדה, אם הוגשו בידי אותם מתנגדים, או שהן באותו נושא, או שמתעוררות בהן שאלות משפטיות או עובדתיות דומות.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יושב ראש הוועדה כאמור, רשאית הוועדה לדון בהתנגדויות במשותף וליתן בעניינן המלצה אחת.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התנגדות</w:t>
                </w:r>
              </w:p>
            </w:txbxContent>
          </v:textbox>
        </v:rect>
      </w:pict>
      <w:r>
        <w:rPr>
          <w:lang w:bidi="he-IL"/>
          <w:rFonts w:hint="cs" w:cs="FrankRuehl"/>
          <w:szCs w:val="34"/>
          <w:rtl/>
        </w:rPr>
        <w:t xml:space="preserve">7.</w:t>
      </w:r>
      <w:r>
        <w:rPr>
          <w:lang w:bidi="he-IL"/>
          <w:rFonts w:hint="cs" w:cs="FrankRuehl"/>
          <w:szCs w:val="26"/>
          <w:rtl/>
        </w:rPr>
        <w:tab/>
        <w:t xml:space="preserve">יושב ראש הוועדה רשאי, מטעמים מיוחדים שיירשמו, שלא לדון בהתנגדות או בבקשה כאמור בתקנה 2(ג), אם שוכנע כי היא טורדנית או קנטרנית.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הדיון בשמיעת התנגדות בעל פה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הורה יושב ראש הוועדה אחרת, יהיה סדר הדיון בשמיעת התנגדות בעל פה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המתנגד או בא כוחו, יציג את ההתנגדות, את נימוקיה ואת המסמכים שצירף להשגה;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צורפה שומת מקרקעין לכתב ההתנגדות, רשאי השמאי מטעם המתנגד שערך אותה להציגה, ולהתייחס לכל סוגיה שמאית הנוגעת לעניין;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זומנו כמה גופים לדיון כאמור בתקנה 5(ב), רשאי יושב ראש הוועדה לאפשר להם או למי מהם להציג את טיעוניו לפי סדר שיורה;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צורפה שומת מקרקעין לכתב ההתנגדות, רשאי יושב ראש הוועדה לאפשר לשמאי מטעם כל אחד מהגופים שזומנו לדיון כאמור בתקנה 5(ב) להציג שומת מקרקעין שנערכה על ידו, ולהתייחס לכל סוגיה שמאית הנוגעת לעניין; ניתנה רשות כאמור, רשאי יושב ראש הוועדה לאפשר למתנגד להשיב לטיעונים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הופיע המבקש או מי מטעמו לדיון שנקבע כאמור בתקנת משנה (א), יראו אותו כאילו ויתר על בקשתו להשמיע את התנגדותו בעל 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רשאית לקצוב את הזמן לכל הטוען לפניה.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זימון גורם נוסף</w:t>
                </w:r>
              </w:p>
            </w:txbxContent>
          </v:textbox>
        </v:rect>
      </w:pict>
      <w:r>
        <w:rPr>
          <w:lang w:bidi="he-IL"/>
          <w:rFonts w:hint="cs" w:cs="FrankRuehl"/>
          <w:szCs w:val="34"/>
          <w:rtl/>
        </w:rPr>
        <w:t xml:space="preserve">9.</w:t>
      </w:r>
      <w:r>
        <w:rPr>
          <w:lang w:bidi="he-IL"/>
          <w:rFonts w:hint="cs" w:cs="FrankRuehl"/>
          <w:szCs w:val="26"/>
          <w:rtl/>
        </w:rPr>
        <w:tab/>
        <w:t xml:space="preserve">ראה יושב ראש הוועדה כי יש מקום לזמן לדיון גורם אחר הנוגע לעניין, רשאי הוא, בכל שלב, להפסיק את הדיון בהתנגדות עד זימונו.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 וראיות נוספים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לא הוצגו לפני הוועדה מידע או תשתית עובדתית לטענה שהעלה מתנגד, רשאית היא שלא לדון בטענה זו, כולה או חלקה, מטעם זה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תהיה רשאית לדרוש שיומצאו לה, בתוך מועד שעליו הורה יושב ראש הוועדה, מסמכים וראיות נוספים הדרושים לדעתה לדיון בהתנגדות; מסמכים וראיות כאמור יוגשו לוועדה כשהם מלווים בתצהיר מאומת בידי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מצאה הוועדה כי לצורך הכרעתה בהתנגדות דרושה לה חוות דעת מומחה, תפנה למומחה בלתי-תלוי שייתן לה חוות דעת בעניין והיא תישא בהוצאות הכרוכות בכך.</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נוספים</w:t>
                </w:r>
              </w:p>
            </w:txbxContent>
          </v:textbox>
        </v:rect>
      </w:pict>
      <w:r>
        <w:rPr>
          <w:lang w:bidi="he-IL"/>
          <w:rFonts w:hint="cs" w:cs="FrankRuehl"/>
          <w:szCs w:val="34"/>
          <w:rtl/>
        </w:rPr>
        <w:t xml:space="preserve">11.</w:t>
      </w:r>
      <w:r>
        <w:rPr>
          <w:lang w:bidi="he-IL"/>
          <w:rFonts w:hint="cs" w:cs="FrankRuehl"/>
          <w:szCs w:val="26"/>
          <w:rtl/>
        </w:rPr>
        <w:tab/>
        <w:t xml:space="preserve">כל עניין הנוגע לסדרי הדיון בהתנגדות שלגביו לא נקבעה הוראה מפורשת בפקודה או בתקנות אלה, רשאי יושב ראש הוועדה לתת הוראות לגביו.</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המזכיר או מי שהוא מינה לכך, ינהל פרוטוקול של עיקרי הדיון; הפרוטוקול ייחתם ביד יושב ראש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הפרוטוקול יועבר למתנגד סמוך לאחר חתימתו.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נוכחות חברי הוועדה בדיונים בנושא התנגדויות</w:t>
                </w:r>
              </w:p>
            </w:txbxContent>
          </v:textbox>
        </v:rect>
      </w:pict>
      <w:r>
        <w:rPr>
          <w:lang w:bidi="he-IL"/>
          <w:rFonts w:hint="cs" w:cs="FrankRuehl"/>
          <w:szCs w:val="34"/>
          <w:rtl/>
        </w:rPr>
        <w:t xml:space="preserve">13.</w:t>
      </w:r>
      <w:r>
        <w:rPr>
          <w:lang w:bidi="he-IL"/>
          <w:rFonts w:hint="cs" w:cs="FrankRuehl"/>
          <w:szCs w:val="26"/>
          <w:rtl/>
        </w:rPr>
        <w:tab/>
        <w:t xml:space="preserve">דיון בוועדה בנושא התנגדות לא יתקיים, אלא אם כן נכחו בו לפחות שליש מחברי הוועדה, שלפחות אחד מהם הוא חבר הוועדה הקבוע בסעיף 2א(א)(11) או בסעיף 2א(א)(12) לפקודה.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בהתנגדות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הוועדה תחליט בהתנגדות בתוך 90 ימים מיום סיום הדיון בעל פה בהתנגדות, ואם לא התקיים דיון בעל פה בהתנגדות, בתוך 90 ימים מתום הדיון בהתנגדות לפי תקנה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קבע יושב ראש הוועדה מועד להמצאת ראיות וידיעות נוספות לפי תקנה 10, תינתן ההחלטה לא יאוחר מתום 90 ימים מהמועד שנקבע כאמור; לא הומצאו ראיות במועד, להנחת דעתו של יושב ראש הוועדה, רשאי הוא לדחות את מתן ההחלטה למועד שלא יאוחר מ-90 ימים מהמועד שבו הומצאו הראיות והידיעות הנוספות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הוועדה בהתנגדות תהיה מנומקת, תינתן בכתב ותיחתם בידי יושב ראש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העתק ההחלטה יומצא למתנגד על ידי המזכיר, בהקדם האפשרי ולא יאוחר מ-21 ימים מיום שניתנה.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15.</w:t>
      </w:r>
      <w:r>
        <w:rPr>
          <w:lang w:bidi="he-IL"/>
          <w:rFonts w:hint="cs" w:cs="FrankRuehl"/>
          <w:szCs w:val="26"/>
          <w:rtl/>
        </w:rPr>
        <w:tab/>
        <w:t xml:space="preserve">יושב ראש הוועדה רשאי להאריך מועד שעליו הורה, ולהאריך, מטעמים שיירשמו, מועד שנקבע בתקנות אלה.</w:t>
      </w:r>
    </w:p>
    <w:p>
      <w:pPr>
        <w:bidi/>
        <w:spacing w:before="70" w:after="5" w:line="250" w:lineRule="auto"/>
        <w:jc w:val="center"/>
      </w:pPr>
      <w:defaultTabStop w:val="720"/>
      <w:r>
        <w:rPr>
          <w:lang w:bidi="he-IL"/>
          <w:rFonts w:hint="cs" w:cs="FrankRuehl"/>
          <w:szCs w:val="26"/>
          <w:b/>
          <w:bCs/>
          <w:rtl/>
        </w:rPr>
        <w:t xml:space="preserve">פרק ג':הוראות שונות</w:t>
      </w:r>
      <w:bookmarkStart w:name="h18" w:id="18"/>
      <w:bookmarkEnd w:id="18"/>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באמצעי אלקטרוני</w:t>
                </w:r>
              </w:p>
            </w:txbxContent>
          </v:textbox>
        </v:rect>
      </w:pict>
      <w:r>
        <w:rPr>
          <w:lang w:bidi="he-IL"/>
          <w:rFonts w:hint="cs" w:cs="FrankRuehl"/>
          <w:szCs w:val="34"/>
          <w:rtl/>
        </w:rPr>
        <w:t xml:space="preserve">16.</w:t>
      </w:r>
      <w:r>
        <w:rPr>
          <w:lang w:bidi="he-IL"/>
          <w:rFonts w:hint="cs" w:cs="FrankRuehl"/>
          <w:szCs w:val="26"/>
          <w:rtl/>
        </w:rPr>
        <w:tab/>
        <w:t xml:space="preserve">בכל מקום בתקנות אלה שבו נדרשת המצאת מסמכים, הגשת בקשה, הגשת תשובה, פנייה או הודעה, ניתן להמציא את המסמכים כאמור באמצעי אלקטרוני.</w:t>
      </w:r>
    </w:p>
    <w:p>
      <w:pPr>
        <w:bidi/>
        <w:spacing w:before="70" w:after="5" w:line="250" w:lineRule="auto"/>
        <w:jc w:val="center"/>
      </w:pPr>
      <w:defaultTabStop w:val="720"/>
      <w:bookmarkStart w:name="h20" w:id="20"/>
      <w:bookmarkEnd w:id="20"/>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889897015334d7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יובל שטייניץ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הקרקעות (רכישה לצורכי ציבור) (שימוע לפני הוועדה המייעצת), תשע"א-2010, נוסח עדכני נכון ליום 30.01.2023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92505f082e54cd9" /><Relationship Type="http://schemas.openxmlformats.org/officeDocument/2006/relationships/hyperlink" Target="https://www.nevo.co.il/laws/#/63c7e10a6133551a405b9767/clause/63ce494b1ebbdd17e4a578df" TargetMode="External" Id="Rb889897015334d7c" /><Relationship Type="http://schemas.openxmlformats.org/officeDocument/2006/relationships/header" Target="/word/header1.xml" Id="r97" /><Relationship Type="http://schemas.openxmlformats.org/officeDocument/2006/relationships/footer" Target="/word/footer1.xml" Id="r98" /></Relationships>
</file>