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324b60163940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השניה לטלוויזיה ורדיו (השתתפות במכרז לזיכיון לשידורי רדיו בערבית),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במכרז לזיכיון לשידורי רדיו בערבית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הרשות השניה לטלוויזיה ורדיו (השתתפות במכרז לזיכיון לשידורי רדיו בערבית),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36(ו) לחוק הרשות השניה לטלוויזיה ורדיו, התש"ן-1990 (להלן – החוק), בהסכמת מועצת הרשות השניה לטלוויזיה ורדיו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במכרז לזיכיון לשידורי רדיו בערבית</w:t>
                </w:r>
              </w:p>
            </w:txbxContent>
          </v:textbox>
        </v:rect>
      </w:pict>
      <w:r>
        <w:rPr>
          <w:lang w:bidi="he-IL"/>
          <w:rFonts w:hint="cs" w:cs="FrankRuehl"/>
          <w:szCs w:val="34"/>
          <w:rtl/>
        </w:rPr>
        <w:t xml:space="preserve">1.</w:t>
      </w:r>
      <w:r>
        <w:rPr>
          <w:lang w:bidi="he-IL"/>
          <w:rFonts w:hint="cs" w:cs="FrankRuehl"/>
          <w:szCs w:val="26"/>
          <w:rtl/>
        </w:rPr>
        <w:tab/>
        <w:t xml:space="preserve">על אף האמור בסעיף 41(ג)(1) לחוק, תאגיד שבעל ענין בו הוא גם בעל ענין בבעל זיכיון לשידורי טלוויזיה לפי החוק, רשאי להשתתף במכרז לזיכיון לשידורי רדיו בערבית, ובלבד שאותו בעל ענין אינו מחזיק ביותר מעשרים וארבעה אחוזים מסוג מסוים של אמצעי שליטה ואינו בעל שליטה בבעל זיכיון לשידורי טלוויזיה, ואינו מחזיק, במישרין או בעקיפין, ביותר מארבעים אחוזים מסוג מסוים של אמצעי שליטה בתאגיד האמור.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ביום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השניה לטלוויזיה ורדיו (השתתפות במכרז לזיכיון לשידורי רדיו בערבית),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e6d849dc7c848d2" /><Relationship Type="http://schemas.openxmlformats.org/officeDocument/2006/relationships/header" Target="/word/header1.xml" Id="r97" /><Relationship Type="http://schemas.openxmlformats.org/officeDocument/2006/relationships/footer" Target="/word/footer1.xml" Id="r98" /></Relationships>
</file>