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00a52f4d45d43c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התחרות הכלכלית (מרשם, פרסום ודיווח על עסקאות), תשס"ד-2004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 ההגבלים העסקיים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תיקי הסדרים כובלים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הודעת מיזוג ואופן ההגשה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תיקי מיזוג חברות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תיקי מונופולין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תיקי קבוצות ריכוז</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הפרסום ברשומות ובעיתונים היומיים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הציבור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מחזור המכירות במיזוג חברות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מחזור מכירות מזערי</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התחרות הכלכלית (מרשם, פרסום ודיווח על עסקאות), 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 17, 20(א) ו-51 לחוק ההגבלים העסקיים, התשמ"ח-1988 (להלן – החוק),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קשור" – אדם השולט בצד למיזוג, תאגיד הנשלט בידי צד למיזוג וכל תאגיד הנשלט בידי מי מהם;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מונופולין" – בין שהוכרז לפי החוק ובין שלא הוכרז;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 לרבות שירותים ולרבות זכויות;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בת" – חברה שחברה אחרת שולטת 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מתמזגת" – לרבות אדם קשור 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תחליפיים" – הקבוצה המצומצמת של טובין שאספקתם מהווה בעיני הצרכן תחליף ישיר ומשמעותי לטובין מסוימים, לרבות בהיבט הגאוגרפי;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"קבוצת ריכוז" – כמשמעותה בסעיף 31ב(א)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"שוק מוצר" – טובין מסוימים וקבוצת הטובין התחליפיים להם; נקבעה הגדרת שוק מוצר בפסק דין של בית הדין לתחרות או בערעור עליו, או בהחלטה של הממונה על התחרות או בערר עליה, חזקה כי היא הגדרת שוק המוצר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"שוק מוצר משיק" – (נמחקה).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 ההגבלים העסקיים</w:t>
                </w:r>
              </w:p>
            </w:txbxContent>
          </v:textbox>
        </v:rect>
      </w:pict>
      <w:r>
        <w:rPr>
          <w:lang w:bidi="he-IL"/>
          <w:rFonts w:hint="cs" w:cs="FrankRuehl"/>
          <w:szCs w:val="34"/>
          <w:rtl/>
        </w:rPr>
        <w:t xml:space="preserve">2.</w:t>
      </w:r>
      <w:r>
        <w:rPr>
          <w:lang w:bidi="he-IL"/>
          <w:rFonts w:hint="cs" w:cs="FrankRuehl"/>
          <w:szCs w:val="26"/>
          <w:rtl/>
        </w:rPr>
        <w:tab/>
        <w:t xml:space="preserve">מרשם ההגבלים העסקיים יכלול תיקי הסדרים כובלים, תיקי מיזוג חברות, תיקי מונופולין ותיקי קבוצת ריכוז, שינוהלו כאמור בתקנות אלה, בכפוף לאמור בסעיף 42 לחוק.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תיקי הסדרים כובלים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המבקש פטור מקבלת אישור בית הדין לפי סעיף 14 לחוק (להלן – בקשה לפטור), יגיש לממונה בקשה ערוכה לפי טופס 1 שבתוספת, בארבעה עותקים או באופן מקוון; הממונה יפרסם הודעה על האופן המקוון שבו ניתן להגיש את בקשת הפטור באתר האינטרנט של רשות התחרות.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הגשת עותק בקשה לאישור הסדר כובל (להלן – בקשה לאישור) או בקשה לפטור כאמור, יפתח הממונה תיק הסדר כובל.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תיק הסדר כובל יכיל מסמכים הנוגעים לאותו הסדר,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בתיק בקשה לאישור – כל בקשה לאישור, כל החלטה שניתנה לגביה והעתק מכל פרסום שפרסם הממונה ברשומות ובעיתונים יומיים;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בתיק בקשה לפטור – עותק הבקשה לפטור, כל החלטה של הממונה בבקשה, כל החלטה שניתנה בערר על החלטת הממונה או בערעור על פסק הדין בערר וכן העתק מכל פרסום שפרסם הממונה ברשומות.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הודעת מיזוג ואופן ההגשה</w:t>
                </w:r>
              </w:p>
            </w:txbxContent>
          </v:textbox>
        </v:rect>
      </w:pict>
      <w:r>
        <w:rPr>
          <w:lang w:bidi="he-IL"/>
          <w:rFonts w:hint="cs" w:cs="FrankRuehl"/>
          <w:szCs w:val="34"/>
          <w:rtl/>
        </w:rPr>
        <w:t xml:space="preserve">4.</w:t>
      </w:r>
      <w:r>
        <w:rPr>
          <w:lang w:bidi="he-IL"/>
          <w:rFonts w:hint="cs" w:cs="FrankRuehl"/>
          <w:szCs w:val="26"/>
          <w:rtl/>
        </w:rPr>
        <w:tab/>
        <w:t xml:space="preserve">הצדדים למיזוג יגישו את הודעת המיזוג לממונה ערוכה לפי טופס 2 שבתוספת, בארבעה עותקים או באופן מקוון; הממונה יפרסם הודעה על האופן המקוון שבו ניתן להגיש את הודעת המיזוג באתר האינטרנט של רשות התחרות.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תיקי מיזוג חברות</w:t>
                </w:r>
              </w:p>
            </w:txbxContent>
          </v:textbox>
        </v:rect>
      </w:pict>
      <w:r>
        <w:rPr>
          <w:lang w:bidi="he-IL"/>
          <w:rFonts w:hint="cs" w:cs="FrankRuehl"/>
          <w:szCs w:val="34"/>
          <w:rtl/>
        </w:rPr>
        <w:t xml:space="preserve">5.</w:t>
      </w:r>
      <w:r>
        <w:rPr>
          <w:lang w:bidi="he-IL"/>
          <w:rFonts w:hint="cs" w:cs="FrankRuehl"/>
          <w:szCs w:val="26"/>
          <w:rtl/>
        </w:rPr>
        <w:tab/>
        <w:t xml:space="preserve">ניתנה החלטת הממונה במיזוג, יפתח הממונה תיק מיזוג חברות, שיכיל מסמכים הנוגעים לאותו מיזוג,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הודעת המיזוג, למעט הפרקים הסודיים שבה ולמעט מצורפיה;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החלטה של הממונה במיזוג;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החלטה של בית הדין או אב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החלטה של בית המשפט העליון, בערעור לפי סעיף 39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העתק של כל פרסום שפרסם הממונה ברשומות ובעיתונים יומיים;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כל החלטה של הממונה בענין הסדר כובל הנלווה למיזוג שעליו הוגשה בקשה לפטור וכל החלטה שנתן בית הדין, אב בית הדין או בית המשפט העליון לגבי בקשה לפטור כאמור.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תיקי מונופולין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הכריז הממונה על קיום בעל מונופולין לפי סעיף 26 לחוק, יפתח הממונה תיק מונופולין.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תיק מונופולין יכיל את המסמכים האלה לגבי אותו בעל מונופולין: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הכרזה כאמור בתקנת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מכל פרסום שפרסם הממונה ברשומות ובעיתונים היומיים;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נוסח ההוראות שהועמדו לעיון הציבור לפי סעיף 30(ה) לחוק, וכל פניה של הממונה לבית הדין לפי סעיף 31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החלטה של בית הדין או של אב בית הדין בערר וכל החלטה שנתן בית המשפט העליון, בערעור לפי סעיף 39 לחוק בעניין הכרזה על בעל המונופולין.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תיקי קבוצות ריכוז</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קבע הממונה כי קבוצה מצומצמת של בני אדם היא קבוצת ריכוז לפי סעיף 43(א)(6) לחוק, יפתח הממונה תיק קבוצת ריכוז.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תיק קבוצת ריכוז יכיל את המסמכים האלה לגבי אותה קבוצת ריכוז: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קביעה כאמור בתקנת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מכל פרסום שפרסם הממונה ברשומות ובעיתונים יומיים;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נוסח ההוראות שהועמדו לעיון הציבור לפי סעיף 31ג לחוק, וכל פנייה של הממונה לבית הדין לפי סעיף 31ג(ב1)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החלטה של בית הדין או של אב בית הדין וכל החלטה שנתן בית המשפט העליון, בערעור לפי סעיף 39 לחוק בעניין אותה קבוצת ריכוז.</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הפרסום ברשומות ובעיתונים היומיים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ההודעה שעל הממונה לפרסם ברשומות ובשני עיתונים יומיים לפי סעיף 7 לחוק בקשר לרישום בקשה לאישור הסדר כובל, 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 הצדדים להסדר;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הנכס או השירות שלגביו נעשה ההסדר;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מהות הכבילה;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המקום והזמן שבהם יכול הציבור לעיין בפרטי ההסדר.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שעל הממונה לפרסם ברשומות לפי סעיף 42(ג) לחוק בקשר לאישור הסדר כובל, 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 הצדדים להסדר;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החלטת בית הדין בבקשה לאישור;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תאריך מתן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ההודעה שעל הממונה לפרסם ברשומות ובשני עיתונים יומיים לפי סעיף 21 לחוק בקשר להודעת מיזוג, 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 החברות המתמזגות;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הנכס או השירות שבו עוסקות החברות המתמזגות;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החלטת הממונה, לרבות עיקרם של תנאים ככל שהותנו;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החלטה בדבר שינוי או ביטול תנאים;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המקום והזמן שבהם יכול הציבור לעיין בתיק המיזוג.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בפרסום הכרזה על בעל מונופולין ברשומות לפי סעיף 26 לחוק יציין הממונה את שם בעל המונופולין ואת הנכס או השירות שלגביו קיים המונופולין.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שעל הממונה לפרסם ברשומות לפי סעיף 14 לחוק בקשר לבקשה לפטור, 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 הצדדים להסדר;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הנכס או השירות שלגביו נעשה ההסדר;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מהות הכבילה;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עיקרי החלטת הממונה, לרבות תנאים, ככל שהותנו;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החלטה בדבר שינוי או ביטול תנאים;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המקום והזמן שבהם יכול הציבור לעיין בפרטי ההסדר.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הציבור</w:t>
                </w:r>
              </w:p>
            </w:txbxContent>
          </v:textbox>
        </v:rect>
      </w:pict>
      <w:r>
        <w:rPr>
          <w:lang w:bidi="he-IL"/>
          <w:rFonts w:hint="cs" w:cs="FrankRuehl"/>
          <w:szCs w:val="34"/>
          <w:rtl/>
        </w:rPr>
        <w:t xml:space="preserve">8.</w:t>
      </w:r>
      <w:r>
        <w:rPr>
          <w:lang w:bidi="he-IL"/>
          <w:rFonts w:hint="cs" w:cs="FrankRuehl"/>
          <w:szCs w:val="26"/>
          <w:rtl/>
        </w:rPr>
        <w:tab/>
        <w:t xml:space="preserve">תיקי בקשות לאישור הסדרים כובלים, תיקי בקשות לפטורים שניתנו לפי סעיף 14 לחוק, תיקי מיזוג שניתנה בהם החלטת הממונה, תיקי מונופולין ותיקי קבוצת ריכוז – יהיו פתוחים לעיון הציבור במשרדי רשות התחרות בירושלים, בימים ובשעות שיורה הממונה וכן באתר האינטרנט של הרשות.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מחזור המכירות במיזוג חברות</w:t>
                </w:r>
              </w:p>
            </w:txbxContent>
          </v:textbox>
        </v:rect>
      </w:pict>
      <w:r>
        <w:rPr>
          <w:lang w:bidi="he-IL"/>
          <w:rFonts w:hint="cs" w:cs="FrankRuehl"/>
          <w:szCs w:val="34"/>
          <w:rtl/>
        </w:rPr>
        <w:t xml:space="preserve">9.</w:t>
      </w:r>
      <w:r>
        <w:rPr>
          <w:lang w:bidi="he-IL"/>
          <w:rFonts w:hint="cs" w:cs="FrankRuehl"/>
          <w:szCs w:val="26"/>
          <w:rtl/>
        </w:rPr>
        <w:tab/>
        <w:t xml:space="preserve">לענין סעיף 17(א)(2) לחוק, יהיה מחזור המכירות של חברות מתמזגות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מחזור המכירות של כל חברה מתמזגת יכלול את ערך מכירותיה לפי דוחות כספיים מבוקרים, בלא מס ערך מוסף ובלא מס קניה; היו לחברה המתמזגת חברות-אם או חברות-בת, ייקבע מחזורה על פי הדוחות הכספיים המאוחדים;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מחזור המכירות של שתיים לפחות מן החברות המתמזגות לא יפחת מ-21,060,000 שקלים חדשים לכל אחת (להלן – מחזור מכירות מזערי).</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מחזור מכירות מזערי</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הסכום הנקוב בתקנה 9(2) ישתנה ביום 1 בינואר בכל שנה (להלן – יום השינוי) לפי שיעור שינוי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שהשתנה כאמור בתקנת משנה (א) יעוגל לסכום הקרוב שהוא מכפלה של 10,000 שקלים חדשים; השתנה סכום כאמור, והתקבל סכום שהוא מכפלה של 5,000 שקלים חדשים, יעוגל הסכום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יפרסם הודעה ובה נוסח תקנה 9(2) כפי שהשתנה לפי האמור בתקנות משנה (א) ו-(ב) באתר האינטרנט וברשומות.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בחודש דצמבר 2021;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בחודש דצמבר האחרון שלפני יום השינוי.</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10.</w:t>
      </w:r>
      <w:r>
        <w:rPr>
          <w:lang w:bidi="he-IL"/>
          <w:rFonts w:hint="cs" w:cs="FrankRuehl"/>
          <w:szCs w:val="26"/>
          <w:rtl/>
        </w:rPr>
        <w:tab/>
        <w:t xml:space="preserve">תקנות ההגבלים העסקיים (מרשם, הודעת מיזוג, הודעת הממונה לציבור וקביעת מחזור המכירות במיזוג חברות), התשמ"ט-1989 – בטלות.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תחילתן של תקנות אלה, למעט לענין האמור בתקנת משנה (ב), 30 ימים מיום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תחילתה של תקנה 8, לענין פרסום באינטרנט, ביום כ' בטבת התשס"ה (1 בינואר 2005), והחובה לפיה תחול על תיקים שנפתחו החל באותו יום.</w:t>
      </w:r>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3(א))
</w:t>
      </w:r>
      <w:hyperlink xmlns:r="http://schemas.openxmlformats.org/officeDocument/2006/relationships" w:history="true" r:id="R7ab8bdcff2de4df4">
        <w:r>
          <w:rPr>
            <w:rStyle w:val="Hyperlink"/>
            <w:u w:val="single"/>
            <w:color w:themeColor="hyperlink"/>
          </w:rPr>
          <w:t>בקשת פטור מאישור הסדר כובל</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4)
</w:t>
      </w:r>
      <w:hyperlink xmlns:r="http://schemas.openxmlformats.org/officeDocument/2006/relationships" w:history="true" r:id="Ra262a2f3727049a4">
        <w:r>
          <w:rPr>
            <w:rStyle w:val="Hyperlink"/>
            <w:u w:val="single"/>
            <w:color w:themeColor="hyperlink"/>
          </w:rPr>
          <w:t>הודעת מיזוג</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(נמחק)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התחרות הכלכלית (מרשם, פרסום ודיווח על עסקאות), תשס"ד-2004, נוסח עדכני נכון ליום 06.02.2023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8ba576abdc049b6" /><Relationship Type="http://schemas.openxmlformats.org/officeDocument/2006/relationships/hyperlink" Target="https://www.nevo.co.il/lawattachments/6236f0cf2ec031b6a9ff853f/d0e60edf-147d-4dfa-8df7-6e3f96d7e388.doc" TargetMode="External" Id="R7ab8bdcff2de4df4" /><Relationship Type="http://schemas.openxmlformats.org/officeDocument/2006/relationships/hyperlink" Target="https://www.nevo.co.il/lawattachments/6236f0cf2ec031b6a9ff853f/e234a4bb-553c-40f7-b820-e9500be8c5c2.doc" TargetMode="External" Id="Ra262a2f3727049a4" /><Relationship Type="http://schemas.openxmlformats.org/officeDocument/2006/relationships/header" Target="/word/header1.xml" Id="r97" /><Relationship Type="http://schemas.openxmlformats.org/officeDocument/2006/relationships/footer" Target="/word/footer1.xml" Id="r98" /></Relationships>
</file>