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e6ed2d928e479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(הוראות מיוחדות בדבר היתר במיתקן בטחוני), תשכ"ז-1966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ההיתר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תקפו של ההיתר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ההיתר או ביטולו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(הוראות מיוחדות בדבר היתר במיתקן בטחוני), תשכ"ז-1966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173 לחוק התכנון והבניה, תשכ"ה-1965,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1.</w:t>
      </w:r>
      <w:r>
        <w:rPr>
          <w:lang w:bidi="he-IL"/>
          <w:rFonts w:hint="cs" w:cs="FrankRuehl"/>
          <w:szCs w:val="26"/>
          <w:rtl/>
        </w:rPr>
        <w:tab/>
        <w:t xml:space="preserve">בקשה להיתר במיתקן בטחוני תוגש בארבעה עותקים לועדה למיתקנים בטחוניים של המחוז שבתחומו נועד להיות מוקם אותו מיתקן.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הבקשה</w:t>
                </w:r>
              </w:p>
            </w:txbxContent>
          </v:textbox>
        </v:rect>
      </w:pict>
      <w:r>
        <w:rPr>
          <w:lang w:bidi="he-IL"/>
          <w:rFonts w:hint="cs" w:cs="FrankRuehl"/>
          <w:szCs w:val="34"/>
          <w:rtl/>
        </w:rPr>
        <w:t xml:space="preserve">2.</w:t>
      </w:r>
      <w:r>
        <w:rPr>
          <w:lang w:bidi="he-IL"/>
          <w:rFonts w:hint="cs" w:cs="FrankRuehl"/>
          <w:szCs w:val="26"/>
          <w:rtl/>
        </w:rPr>
        <w:tab/>
        <w:t xml:space="preserve">הבקשה להיתר תיערך לפי הטופס שבתוספת הראשונה ותיחתם על ידי מי שיוסמך לכך על ידי שר הבטחון.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ההיתר</w:t>
                </w:r>
              </w:p>
            </w:txbxContent>
          </v:textbox>
        </v:rect>
      </w:pict>
      <w:r>
        <w:rPr>
          <w:lang w:bidi="he-IL"/>
          <w:rFonts w:hint="cs" w:cs="FrankRuehl"/>
          <w:szCs w:val="34"/>
          <w:rtl/>
        </w:rPr>
        <w:t xml:space="preserve">3.</w:t>
      </w:r>
      <w:r>
        <w:rPr>
          <w:lang w:bidi="he-IL"/>
          <w:rFonts w:hint="cs" w:cs="FrankRuehl"/>
          <w:szCs w:val="26"/>
          <w:rtl/>
        </w:rPr>
        <w:tab/>
        <w:t xml:space="preserve">היתר למיתקן בטחוני ייערך לפי הטופס שבתוספת השניה.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תקפו של ההיתר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תקופת תקפו של ההיתר היא לחמש שנים מיום נתינתו, זולת אם קבעה הועדה למיתקנים בטחוניים תקופה ארוכה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הוחל בהקמת המיתקן הבטחוני ולא הושלמה הקמתו תוך תקופת תקפו של ההיתר, תאריך הועדה למיתקנים בטחוניים, לפי דרישת בעל ההיתר, את תקפו לתקופה נוספת הדרושה, לדעתה, להשלמת הקמתו של המיתקן.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שוכנעה הועדה למיתקנים בטחוניים כי מחמת סיבה סבירה לא הושלמה הקמתו של המיתקן הבטחוני תוך התקופה שהוארכה כאמור, תאריך הועדה, לפי דרישת בעל ההיתר, את תקפו לתקופה נוספת הדרושה, לדעתה, להשלמת הקמתו של המיתקן.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ההיתר או ביטולו</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הועדה רשאית, בהחלטה שנתקבלה בקולות כל חבריה, לשנות היתר שניתן.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סבור בעל ההיתר כי שוב אין צורך במיתקן הבטחוני שלהקמתו ניתן ההיתר, יודיע על כך לועדה ובעקבות הודעה זו תהיה הועדה רשאית לבטל את ההיתר.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w:t>
      </w:r>
      <w:r>
        <w:rPr>
          <w:lang w:bidi="he-IL"/>
          <w:rFonts w:hint="cs" w:cs="FrankRuehl"/>
          <w:szCs w:val="26"/>
          <w:rtl/>
        </w:rPr>
        <w:tab/>
        <w:t xml:space="preserve">על אף האמור בכל תקנה אחרת לפי החוק יחולו הוראות תקנות אלה בלבד על בקשה להיתר במיתקן בטחוני, על מתן ההיתר ועל תקופת תקפו.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w:t>
      </w:r>
      <w:r>
        <w:rPr>
          <w:lang w:bidi="he-IL"/>
          <w:rFonts w:hint="cs" w:cs="FrankRuehl"/>
          <w:szCs w:val="26"/>
          <w:rtl/>
        </w:rPr>
        <w:tab/>
        <w:t xml:space="preserve">לתקנות אלה ייקרא "תקנות התכנון והבניה (הוראות מיוחדות בדבר היתר במיתקן בטחוני), תשכ"ז-1966".</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d91115273714b57">
        <w:r>
          <w:rPr>
            <w:rStyle w:val="Hyperlink"/>
            <w:u w:val="single"/>
            <w:color w:themeColor="hyperlink"/>
          </w:rPr>
          <w:t>בקשה להיתר להקמת מיתקן בטחוני</w:t>
        </w:r>
      </w:hyperlink>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1aec085d0d544b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זרח ורהפטיג</w:t>
                </w:r>
              </w:p>
              <w:p>
                <w:pPr>
                  <w:bidi/>
                  <w:spacing w:before="45" w:after="3" w:line="250" w:lineRule="auto"/>
                  <w:jc w:val="center"/>
                </w:pPr>
                <w:defaultTabStop w:val="720"/>
                <w:r>
                  <w:rPr>
                    <w:lang w:bidi="he-IL"/>
                    <w:rFonts w:hint="cs" w:cs="FrankRuehl"/>
                    <w:szCs w:val="22"/>
                    <w:rtl/>
                  </w:rPr>
                  <w:t xml:space="preserve">שר הדתותממלא מקום 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הבטחון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(הוראות מיוחדות בדבר היתר במיתקן בטחוני), תשכ"ז-1966,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7b1d5a4b31b4629" /><Relationship Type="http://schemas.openxmlformats.org/officeDocument/2006/relationships/hyperlink" Target="https://www.nevo.co.il/lawattachments/625e727b9bd2190c7cbf39e0/e0c62c45-ade5-4950-bf98-705b7e51cb3b.doc" TargetMode="External" Id="Rbd91115273714b57" /><Relationship Type="http://schemas.openxmlformats.org/officeDocument/2006/relationships/hyperlink" Target="https://www.nevo.co.il/laws/#/625e727b9bd2190c7cbf39e0/clause/625e75e59bd2190c7cbf3a2c" TargetMode="External" Id="R21aec085d0d544b7" /><Relationship Type="http://schemas.openxmlformats.org/officeDocument/2006/relationships/header" Target="/word/header1.xml" Id="r97" /><Relationship Type="http://schemas.openxmlformats.org/officeDocument/2006/relationships/footer" Target="/word/footer1.xml" Id="r98" /></Relationships>
</file>