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8e2a3b0738a463b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התקשורת (בזק ושידורים) (שירות בזק שחייב ברישיון מפאת גודלו), תשפ"ג-2022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מאפייני שירות הבזק החייב בקבלת רישיון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התקשורת (בזק ושידורים) (שירות בזק שחייב ברישיון מפאת גודלו), תשפ"ג-2022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2(ב)(2) לחוק התקשורת (בזק ושידורים), התשמ"ב-1982 (להלן – החוק),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בתקנות אלה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"בעלות" – כל אחד מאלה: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כמשמעותה בסעיף 2 לחוק המקרקעין, התשכ"ט-1969, ברשת בזק;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כמשמעותה בסעיף 2 לחוק המיטלטלין, התשל"א-1971, ברשת בזק;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החזקה בעשרה אחוזים או יותר מאמצעי שליטה בתאגיד שהוא בעלים כאמור בפסקאות (1) או (2);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"משתמש" – מי שמקבל שירות גישה לאינטרנט על גבי רשת גישה נייחת שבבעלותו של ספק מורשה;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"רישיון" – רישיון לאספקת שירותי בזק או לביצוע פעולת בזק שניתן לפי סעיף 4 לחוק;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"רשת גישה" – כהגדרתה בסעיף 27א לחוק.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מאפייני שירות הבזק החייב בקבלת רישיון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לעניין סעיף 2(ב)(2) לחוק, לא יספק אדם, דרך עיסוק, שירות בזק באמצעות אחד מאלה, אלא אם כן יש בידו רישיון: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באמצעות רשת גישה נייחת שבבעלותו, שמספר המשתמשים בה הוא 100,000 לפחות;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באמצעות רשת גישה נייחת שמספר המנויים שלו, שמקבלים שירות גישה לאינטרנט באמצעותה, הוא 500,000 לפחות.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תחילתן של תקנות אלה ביום ז' בתשרי התשפ"ג (2 באוקטובר 2022).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יועז הנדל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התקשורת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התקשורת (בזק ושידורים) (שירות בזק שחייב ברישיון מפאת גודלו), תשפ"ג-2022, נוסח עדכני נכון ליום 04.10.2022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99fce15c3b5840be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