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710efe3e11435e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לפיצוי נפגעי גזזת (תשלום פיצוי חד פעמי, קיצבה ומענק), תשנ"ה-1995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הגדרות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השלמת פרטים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תקופות ומועדי תשלום גימלה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4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תשלום הגימלה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4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5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הודעה על שינויים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5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לפיצוי נפגעי גזזת (תשלום פיצוי חד פעמי, קיצבה ומענק), תשנ"ה-1995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13(ג) לחוק לפיצוי נפגעי גזזת, התשנ"ד-1994 (להלן – החוק), לאחר התייעצות עם שר הבריאות, אני מתקינה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הגדרות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בתקנות אלה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"גימלה" – פיצוי חד-פעמי, קיצבה חודשית, מענק במקום קיצבה ומענק לשאירים כמשמעותם בחוק;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"תביעה" – תביעה לגימלה, שהוגשה למשרד הבריאות כאמור בסעיף 6 לחוק;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"תובע" – נפגע או שאיר התובעים גימלה לפי החוק.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השלמת פרטים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משרד הבריאות יעביר למוסד כל תביעה שאושרה בצירוף החלטות הועדות כאמור בסעיף 12(א) לחוק.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ראה המוסד שפרטי התביעה או המסמכים המצורפים לה אינם מספיקים כדי לברר את זכות התובע לגימלה או כדי לקבוע את שיעורה, יבקש המוסד מהתובע השלמת הפרטים החסרים; לא השלים התובע את הפרטים הנדרשים תוך 90 ימים מיום שביקש זאת המוסד – יפסיק המוסד את הטיפול בתביעה ויודיע על כך לתובע.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(ג)</w:t>
      </w:r>
      <w:r>
        <w:rPr>
          <w:lang w:bidi="he-IL"/>
          <w:rFonts w:hint="cs" w:cs="FrankRuehl"/>
          <w:szCs w:val="26"/>
          <w:rtl/>
        </w:rPr>
        <w:tab/>
        <w:t xml:space="preserve">השלים התובע את הפרטים החסרים לאחר שהטיפול בתביעה הופסק כאמור בתקנת משנה (ב), יחודש הטיפול בתביעה.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תקופות ומועדי תשלום גימלה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פיצוי חד-פעמי וכן מענק לפי סעיף 4 או סעיף 10 לחוק ישולמו בחודש שלאחר החודש שבו התקבלה במוסד החלטת משרד הבריאות בתביעה ולא לפני ה-15 בחודש, ובלבד שהתובע המציא למוסד את כל הפרטים הנדרשים לצורך ביצוע התשלום. 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קיצבה חודשית לפי סעיף 3 לחוק תשולם במועד תשלום הגימלאות שלפי חוק הביטוח הלאומי ובעד תקופה המתחילה ב-1 בחודש שבו היה התובע לנפגע, ואולם לא תשולם קיצבה בעד תקופה שקדמה ליום תחילתו של החוק.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4" w:id="4"/>
      <w:bookmarkEnd w:id="4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תשלום הגימלה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4.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גימלה לפי תקנות אלה תשולם לחשבון הבנק שאת פרטיו מסר התובע, בכתב, בטופס התביעה, ויראו תשלום כאמור כתשלום לזכאי לקיצבה.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שוהה התובע בחוץ לארץ, תשולם הגימלה המגיעה לו לחשבון בנק בישראל שאת פרטיו מסר התובע כאמור בתקנת משנה (א).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5" w:id="5"/>
      <w:bookmarkEnd w:id="5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הודעה על שינויים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5.</w:t>
      </w:r>
      <w:r>
        <w:rPr>
          <w:lang w:bidi="he-IL"/>
          <w:rFonts w:hint="cs" w:cs="FrankRuehl"/>
          <w:szCs w:val="26"/>
          <w:rtl/>
        </w:rPr>
        <w:tab/>
        <w:t xml:space="preserve">מקבל קיצבה לפי תקנות אלה יודיע למוסד, בכתב, אם שהה מחוץ לישראל תקופה העולה על ששה חודשים.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אורה נמיר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העבודה והרווחה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לפיצוי נפגעי גזזת (תשלום פיצוי חד פעמי, קיצבה ומענק), תשנ"ה-1995,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fa76126301b1456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