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d908fc3ec13450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מקורות אנרגיה (יעילות אנרגטית מזערית לנורה חשמלית לתאורת פנים במבנים) (נורות פלואורניות),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לעמוד ביעילות אנרגטית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מידע לממונה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מקורות אנרגיה (יעילות אנרגטית מזערית לנורה חשמלית לתאורת פנים במבנים) (נורות פלואורניות), 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 לחוק מקורות אנרגיה, התש"ן-1989 (להלן – החוק)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"מכון התקנים" – מכון התקנים כמשמעותו בסעיף 2 לחוק התקנים, התשי"ג-1953 (להלן – חוק התקנים);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מאושרת" – כמשמעותה בסעיף 12 לחוק התקנים;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"נורה פלואורנית" – נורה שהיא אחת מאלה, כמשמעותן בתקן: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נורה פלואורנית בעלת שתי כיפות;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נורה פלואורנית בעלת כיפה אחת;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נורה פלואורנית בעלת נטל עצמי בלא כיסוי;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 אחד מאלה לפי העניין וכתוקפו מזמן לזמן לפי חוק התקנים, שעותק שלו מופקד לעיון הציבור במשרדי מכון התקנים הישראלי, והפניה אליו מצויה באתר האינטרנט של משרד האנרגיה והמים שכתובתו www.mni.gov.il; בהעדר הפניה כאמור, לא יהיה תוקף לתקן לעניין 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תקן ישראלי ת"י 61195 "נורות פלואורניות בעלות שתי כיפות – דרישות בטיחות";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תקן ישראלי ת"י 61199 "נורות פלואורניות בעלות כיפה אחת – דרישות בטיחות";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תקן ישראלי ת"י 60968 "נורות בעלות נטל עצמי לשימושי תאורה כלליים – דרישות בטיחות".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לעמוד ביעילות אנרגטית</w:t>
                </w:r>
              </w:p>
            </w:txbxContent>
          </v:textbox>
        </v:rect>
      </w:pict>
      <w:r>
        <w:rPr>
          <w:lang w:bidi="he-IL"/>
          <w:rFonts w:hint="cs" w:cs="FrankRuehl"/>
          <w:szCs w:val="34"/>
          <w:rtl/>
        </w:rPr>
        <w:t xml:space="preserve">2.</w:t>
      </w:r>
      <w:r>
        <w:rPr>
          <w:lang w:bidi="he-IL"/>
          <w:rFonts w:hint="cs" w:cs="FrankRuehl"/>
          <w:szCs w:val="26"/>
          <w:rtl/>
        </w:rPr>
        <w:tab/>
        <w:t xml:space="preserve">לא ייבא אדם בדרך עיסוקו, לא ייצר לשימוש בארץ, לא ימכור, ולא ישווק נורה פלואורנית אלא אם כן מכון התקנים או מעבדה מאושרת בדקו בהתאם לתקן את היעילות האנרגטית של הנורה הפלואורנית ובהתאם לבדיקה, היעילות האנרגטית של הנורה הפלואורנית היא כמפורט בתוספת לפחות.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מידע לממונה</w:t>
                </w:r>
              </w:p>
            </w:txbxContent>
          </v:textbox>
        </v:rect>
      </w:pict>
      <w:r>
        <w:rPr>
          <w:lang w:bidi="he-IL"/>
          <w:rFonts w:hint="cs" w:cs="FrankRuehl"/>
          <w:szCs w:val="34"/>
          <w:rtl/>
        </w:rPr>
        <w:t xml:space="preserve">3.</w:t>
      </w:r>
      <w:r>
        <w:rPr>
          <w:lang w:bidi="he-IL"/>
          <w:rFonts w:hint="cs" w:cs="FrankRuehl"/>
          <w:szCs w:val="26"/>
          <w:rtl/>
        </w:rPr>
        <w:tab/>
        <w:t xml:space="preserve">היצרן או היבואן ימסור לממונה מידע על היעילות האנרגטית של נורה פלואורנית שייבא או ייצר לפי דרישת הממונה.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לעניין יצרן או יבואן חמישה חודשים מיום פרסומן, ולעניין מוכר ומשווק 18 חודשים מיום פרסומן.</w:t>
      </w:r>
    </w:p>
    <w:p>
      <w:pPr>
        <w:bidi/>
        <w:spacing w:before="70" w:after="5" w:line="250" w:lineRule="auto"/>
        <w:jc w:val="center"/>
      </w:pPr>
      <w:defaultTabStop w:val="720"/>
      <w:bookmarkStart w:name="h5" w:id="5"/>
      <w:bookmarkEnd w:id="5"/>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 w:line="250" w:lineRule="auto"/>
        <w:jc w:val="center"/>
      </w:pPr>
      <w:defaultTabStop w:val="720"/>
      <w:r>
        <w:rPr>
          <w:lang w:bidi="he-IL"/>
          <w:rFonts w:hint="cs" w:cs="FrankRuehl"/>
          <w:szCs w:val="26"/>
          <w:rtl/>
        </w:rPr>
        <w:t xml:space="preserve">דרישות ליעילות אנרגטית של נורה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f161398dd9a4bc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עוזי לנדאו</w:t>
                </w:r>
              </w:p>
              <w:p>
                <w:pPr>
                  <w:bidi/>
                  <w:spacing w:before="45" w:after="3" w:line="250" w:lineRule="auto"/>
                  <w:jc w:val="center"/>
                </w:pPr>
                <w:defaultTabStop w:val="720"/>
                <w:r>
                  <w:rPr>
                    <w:lang w:bidi="he-IL"/>
                    <w:rFonts w:hint="cs" w:cs="FrankRuehl"/>
                    <w:szCs w:val="22"/>
                    <w:rtl/>
                  </w:rPr>
                  <w:t xml:space="preserve">שר האנרגיה והמים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מקורות אנרגיה (יעילות אנרגטית מזערית לנורה חשמלית לתאורת פנים במבנים) (נורות פלואורניות), תשע"ב-2012, נוסח עדכני נכון ליום 02.03.2023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d7aaf8616384f4d" /><Relationship Type="http://schemas.openxmlformats.org/officeDocument/2006/relationships/hyperlink" Target="https://www.nevo.co.il/laws/#/63f5c9bbda615e0e48137215/clause/63f5ce6fda615e0e48137269" TargetMode="External" Id="R6f161398dd9a4bce" /><Relationship Type="http://schemas.openxmlformats.org/officeDocument/2006/relationships/header" Target="/word/header1.xml" Id="r97" /><Relationship Type="http://schemas.openxmlformats.org/officeDocument/2006/relationships/footer" Target="/word/footer1.xml" Id="r98" /></Relationships>
</file>