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057a152f57f4e5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משק החשמל (קידום התחרות במקטע הייצור) (הוראת שעה),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למתן זכות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נוספים למתן זכות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תצהיר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משק החשמל (קידום התחרות במקטע הייצור) (הוראת שעה), תשפ"ב-2021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7(א)(1), (2) ו-(4) ו-63 לחוק משק החשמל, התשנ"ו-1996 (להלן – החוק), לפי הצעת הרשות, בהתייעצות עם הממונה על התחרות לפי סעיף 11(ג) לחוק לקידום התחרות ולצמצום הריכוזיות, התשע"ד-2013, ולאחר ששקלתי שיקולים של קידום התחרות הענפית,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"הספק מותקן" – הספק הייצור המצוין ברישיון הייצור במגוואט או הספק הייצור שניתן לגביו התחייבות לחיבור שלגביה טרם ניתנה זכות,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"ההספק המותקן המתוכנן לסוג של יחידות ייצור" – ההספק המותקן המתוכנן של סוג יחידות לייצור חשמל לפי רשימה המצורפת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"התחייבות לחיבור" – התחייבות לחיבור ולהזרמה כמשמעותה באמת מידה 35כו5 בכללי משק החשמל (אמות מידה לרמה, לטיב ולאיכות השירות שנותן ספק שירות חיוני), התשע"ח-2018;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 רישיון ייצור;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ייצור בטכנולוגיית אגירה שאובה" – יחידת ייצור שלצורך המרת אנרגיה עושה שימוש בהזרמת מים בין מאגרי מים שגובהם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לעניין זכות או התחייבות לחיבור – בעל עניין בתאגיד שלו ניתנה הזכות או ההתחייבות לחיבור, לפי העניין; לעניין זה, בעל עניין בתאגיד שהוא בעל עניין בתאגיד שלו ניתנה הזכות או ההתחייבות לחיבור ייחשב גם הוא כמחזיק בזכות או בהתחייבות לחיבור.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למתן זכות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הרשות לא תיתן לאדם זכות ליחידת ייצור אשר נדרשת לקבלת הזכות, ולא תיתן לאדם אישור לפי סעיפים 12 או 13 לחוק, לגבי יחידת ייצור כאמור, אם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לאחר מתן הזכות או האישור האדם יהיה מחזיק בזכויות או בהתחייבויות לחיבור בעבור יחידות לייצור חשמל באמצעות גז טבעי שסך הספקן המותקן עולה על 20 אחוזים מההספק המותקן המתוכנן לסוג זה של יחידות ייצור;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מתן הזכות או האישור האדם יהיה מחזיק בזכויות או בהתחייבויות לחיבור ביותר מיחידת ייצור בטכנולוגיית אגירה שאובה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לאחר מתן הזכות או האישור האדם יהיה מחזיק בזכויות או בהתחייבויות לחיבור ביחידות לייצור חשמל מאנרגיית רוח שסך הספקן המותקן עולה על 60 אחוזים מההספק המותקן המתוכנן לסוג זה של יחידות ייצור.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חישוב ההחזקות בזכויות או בהתחייבויות לחיבור בתקנת משנה (א), יראו באדם כמחזיק בזכות או בהתחייבות לחיבור לגבי מלוא ההספק המותקן של הזכות או ההתחייבות לחיבור.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הרשות תהיה רשאית לתת זכות כאמור או אישור כאמור, מנימוקים מיוחדים שיירשמו, לאחר היוועצות עם רשות התחרות, ובלבד שסברה כי קיימת תועלת למשק החשמל ממתן הזכות.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נוספים למתן זכות</w:t>
                </w:r>
              </w:p>
            </w:txbxContent>
          </v:textbox>
        </v:rect>
      </w:pict>
      <w:r>
        <w:rPr>
          <w:lang w:bidi="he-IL"/>
          <w:rFonts w:hint="cs" w:cs="FrankRuehl"/>
          <w:szCs w:val="34"/>
          <w:rtl/>
        </w:rPr>
        <w:t xml:space="preserve">3.</w:t>
      </w:r>
      <w:r>
        <w:rPr>
          <w:lang w:bidi="he-IL"/>
          <w:rFonts w:hint="cs" w:cs="FrankRuehl"/>
          <w:szCs w:val="26"/>
          <w:rtl/>
        </w:rPr>
        <w:tab/>
        <w:t xml:space="preserve">בלי לגרוע מהאמור בסעיף 8 לחוק, הרשות רשאית שלא לתת לאדם זכות ליחידת ייצור אשר נדרשת לקבלת הזכות, או אישור לפי סעיפים 12 או 13 לחוק לגבי יחידת ייצור כאמור, אם סברה כי מתן הזכות עלול למנוע או להפחית את התחרות במשק החשמל; בבואה להחליט על מתן זכות או אישור כאמור, תשקול הרשות, בין השאר, שיקולים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מידת ההשפעה של החזקות האדם בבעלי רישיונות ייצור אחרים שאינן עולות לכדי החזקה בזכות כמשמעותה לפי ההגדרה "מחזיק";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השפעתן של החזקות שיש לאדם בתאגידים אחרים אשר מוחזקים גם על ידי אחרים שמחזיקים בזכויות אחרות במשק החשמל;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השפעתן של החזקות האדם בבעלי רישיונות שהוענקו מכוח חוק משק הגז הטבעי, התשס"ב-2002, או בבעלי חזקות כהגדרתם בחוק האמור.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תצהיר</w:t>
                </w:r>
              </w:p>
            </w:txbxContent>
          </v:textbox>
        </v:rect>
      </w:pict>
      <w:r>
        <w:rPr>
          <w:lang w:bidi="he-IL"/>
          <w:rFonts w:hint="cs" w:cs="FrankRuehl"/>
          <w:szCs w:val="34"/>
          <w:rtl/>
        </w:rPr>
        <w:t xml:space="preserve">4.</w:t>
      </w:r>
      <w:r>
        <w:rPr>
          <w:lang w:bidi="he-IL"/>
          <w:rFonts w:hint="cs" w:cs="FrankRuehl"/>
          <w:szCs w:val="26"/>
          <w:rtl/>
        </w:rPr>
        <w:tab/>
        <w:t xml:space="preserve">המבקש זכות או המבקש מהרשות אישור לפי סעיפים 12 או 13 לחוק, יצרף לבקשתו תצהיר ערוך לפי הנוסח שבתוספת השנייה; לעניין בקשה לאישור לפי סעיפים 12 או 13 לחוק, אין בהגשת התצהיר לפי תקנה זו כדי לגרוע מחובת הגשת התצהיר לפי סעיף 4(ב)﻿(7) לכללי משק החשמל (שעבודים והעברות שליטה), התשע"ט-2019, שהמבקש נדרש להגיש במסגרת הבקשה שמגיש לפי אותם כללים.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אין באמור בתקנות אלה כדי לגרוע מסמכות הרשות לפי סעיף 30(2) לחוק לקבוע באמות מידה מועד נוסף, מוקדם יותר ממועד מתן הזכות, לבחינת העמידה בתנאי תקנות 2 ו-3.</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6.</w:t>
      </w:r>
      <w:r>
        <w:rPr>
          <w:lang w:bidi="he-IL"/>
          <w:rFonts w:hint="cs" w:cs="FrankRuehl"/>
          <w:szCs w:val="26"/>
          <w:rtl/>
        </w:rPr>
        <w:tab/>
        <w:t xml:space="preserve">תוקפן של תקנות אלה לשלוש שנים מיום פרסומן.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תקנות אלה לא יחולו על מחזיק ברישיון מכוח סעיף 60 או 60א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אלה יחולו לגבי בקשה למתן זכות או בקשה למתן אישור לפי סעיפים 12 או 13 לחוק, שהוגשה ביום פרסומן של תקנות אלה או לאחריו; על אף האמור בתקנת משנה זו, אם הגיש אדם בקשה תלויה ועומדת למתן זכות או בקשה תלויה ועומדת למתן אישור לפי סעיפים 12 או 13 לחוק, לפני יום הפרסום, הוא יהיה רשאי לבקש מהרשות שיחולו לגבי בקשתו תקנות אלה.</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0c98f30143046f1">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558316fac5b44b2">
        <w:r>
          <w:rPr>
            <w:rStyle w:val="Hyperlink"/>
            <w:u w:val="single"/>
            <w:color w:themeColor="hyperlink"/>
          </w:rPr>
          <w:t>תצהיר</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קארין אלהרר</w:t>
                </w:r>
              </w:p>
              <w:p>
                <w:pPr>
                  <w:bidi/>
                  <w:spacing w:before="45" w:after="3" w:line="250" w:lineRule="auto"/>
                  <w:jc w:val="center"/>
                </w:pPr>
                <w:defaultTabStop w:val="720"/>
                <w:r>
                  <w:rPr>
                    <w:lang w:bidi="he-IL"/>
                    <w:rFonts w:hint="cs" w:cs="FrankRuehl"/>
                    <w:szCs w:val="22"/>
                    <w:rtl/>
                  </w:rPr>
                  <w:t xml:space="preserve">שרת האנרגיה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משק החשמל (קידום התחרות במקטע הייצור) (הוראת שעה), תשפ"ב-2021,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f49f760c3904f11" /><Relationship Type="http://schemas.openxmlformats.org/officeDocument/2006/relationships/hyperlink" Target="https://www.nevo.co.il/laws/#/61ad980217903af2e5729a2a/clause/61ad9bd717903af2e5729a9d" TargetMode="External" Id="R00c98f30143046f1" /><Relationship Type="http://schemas.openxmlformats.org/officeDocument/2006/relationships/hyperlink" Target="https://www.nevo.co.il/lawattachments/61ad980217903af2e5729a2a/39fa9a4f-9c1d-4351-bdcc-4881e375ce36.doc" TargetMode="External" Id="R2558316fac5b44b2" /><Relationship Type="http://schemas.openxmlformats.org/officeDocument/2006/relationships/header" Target="/word/header1.xml" Id="r97" /><Relationship Type="http://schemas.openxmlformats.org/officeDocument/2006/relationships/footer" Target="/word/footer1.xml" Id="r98" /></Relationships>
</file>